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63277">
      <w:pPr>
        <w:spacing w:line="600" w:lineRule="exact"/>
        <w:jc w:val="center"/>
        <w:rPr>
          <w:rFonts w:ascii="方正小标宋简体" w:hAnsi="宋体" w:eastAsia="方正小标宋简体"/>
          <w:sz w:val="44"/>
          <w:szCs w:val="32"/>
        </w:rPr>
      </w:pPr>
      <w:r>
        <w:rPr>
          <w:rFonts w:hint="eastAsia" w:ascii="方正小标宋简体" w:hAnsi="宋体" w:eastAsia="方正小标宋简体"/>
          <w:sz w:val="44"/>
          <w:szCs w:val="32"/>
        </w:rPr>
        <w:t>团体标准《奶水牛生产性能测定管理规范》</w:t>
      </w:r>
    </w:p>
    <w:p w14:paraId="0E603CC2">
      <w:pPr>
        <w:spacing w:line="600" w:lineRule="exact"/>
        <w:jc w:val="center"/>
        <w:rPr>
          <w:rFonts w:ascii="方正小标宋简体" w:hAnsi="宋体" w:eastAsia="方正小标宋简体"/>
          <w:sz w:val="44"/>
          <w:szCs w:val="32"/>
        </w:rPr>
      </w:pPr>
      <w:r>
        <w:rPr>
          <w:rFonts w:hint="eastAsia" w:ascii="方正小标宋简体" w:hAnsi="宋体" w:eastAsia="方正小标宋简体"/>
          <w:sz w:val="44"/>
          <w:szCs w:val="32"/>
        </w:rPr>
        <w:t>（征求意见稿）编制说明</w:t>
      </w:r>
    </w:p>
    <w:p w14:paraId="117EAAFD">
      <w:pPr>
        <w:spacing w:line="600" w:lineRule="exact"/>
        <w:jc w:val="center"/>
        <w:rPr>
          <w:rFonts w:ascii="方正小标宋简体" w:hAnsi="宋体" w:eastAsia="方正小标宋简体"/>
          <w:sz w:val="44"/>
          <w:szCs w:val="32"/>
        </w:rPr>
      </w:pPr>
    </w:p>
    <w:p w14:paraId="229453EA">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31B8540A">
      <w:pPr>
        <w:ind w:firstLine="640"/>
        <w:rPr>
          <w:rFonts w:ascii="仿宋_GB2312" w:hAnsi="宋体"/>
          <w:szCs w:val="28"/>
        </w:rPr>
      </w:pPr>
      <w:r>
        <w:rPr>
          <w:rFonts w:hint="eastAsia" w:ascii="仿宋_GB2312" w:hAnsi="宋体"/>
          <w:szCs w:val="28"/>
        </w:rPr>
        <w:t>根据《广西标准化协会关于下达2026年第三批团体标准制修订项目计划的通知》（桂标协〔2026〕44号）文件精神，由广西畜牧兽医学会提出，广西壮族自治区水牛研究所、广西农业工程职业技术学院、广西大学、灵山县农业农村局、广西壮族自治区畜禽品种改良站、灵山县畜牧技术服务站、广西灵山百菲奶水牛养殖有限公司、广西皇氏乳业有限公司、</w:t>
      </w:r>
      <w:r>
        <w:rPr>
          <w:rFonts w:hint="eastAsia"/>
          <w:color w:val="000000" w:themeColor="text1"/>
          <w14:textFill>
            <w14:solidFill>
              <w14:schemeClr w14:val="tx1"/>
            </w14:solidFill>
          </w14:textFill>
        </w:rPr>
        <w:t>中国农业科学院北京畜牧兽医研究所</w:t>
      </w:r>
      <w:r>
        <w:rPr>
          <w:rFonts w:hint="eastAsia" w:ascii="仿宋_GB2312" w:hAnsi="宋体"/>
          <w:szCs w:val="28"/>
        </w:rPr>
        <w:t>等单位共同起草的团体标准《奶水牛生产性能测定管理规范》（项目编号：2026-0304），已获立项。</w:t>
      </w:r>
    </w:p>
    <w:p w14:paraId="3B2CEB78">
      <w:pPr>
        <w:ind w:firstLine="640"/>
        <w:rPr>
          <w:rFonts w:ascii="仿宋_GB2312" w:hAnsi="宋体"/>
          <w:szCs w:val="28"/>
        </w:rPr>
      </w:pPr>
      <w:r>
        <w:rPr>
          <w:rFonts w:hint="eastAsia" w:ascii="仿宋_GB2312" w:hAnsi="宋体"/>
          <w:szCs w:val="28"/>
        </w:rPr>
        <w:t>为高质量编制团体标准《奶水牛生产性能测定管理规范》，由起草单位成立标准编制工作组并进行如下分工：</w:t>
      </w:r>
    </w:p>
    <w:tbl>
      <w:tblPr>
        <w:tblStyle w:val="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1418"/>
        <w:gridCol w:w="2693"/>
        <w:gridCol w:w="3680"/>
      </w:tblGrid>
      <w:tr w14:paraId="43245E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bottom w:val="single" w:color="auto" w:sz="4" w:space="0"/>
            </w:tcBorders>
            <w:vAlign w:val="center"/>
          </w:tcPr>
          <w:p w14:paraId="7D1292B9">
            <w:pPr>
              <w:ind w:firstLine="0" w:firstLineChars="0"/>
              <w:jc w:val="center"/>
              <w:rPr>
                <w:rFonts w:ascii="仿宋_GB2312" w:hAnsi="仿宋"/>
                <w:b/>
                <w:sz w:val="24"/>
              </w:rPr>
            </w:pPr>
            <w:r>
              <w:rPr>
                <w:rFonts w:hint="eastAsia" w:ascii="仿宋_GB2312" w:hAnsi="仿宋"/>
                <w:b/>
                <w:sz w:val="24"/>
              </w:rPr>
              <w:t>姓名</w:t>
            </w:r>
          </w:p>
        </w:tc>
        <w:tc>
          <w:tcPr>
            <w:tcW w:w="773" w:type="pct"/>
            <w:tcBorders>
              <w:top w:val="single" w:color="auto" w:sz="4" w:space="0"/>
              <w:bottom w:val="single" w:color="auto" w:sz="4" w:space="0"/>
            </w:tcBorders>
            <w:vAlign w:val="center"/>
          </w:tcPr>
          <w:p w14:paraId="74A2EA90">
            <w:pPr>
              <w:ind w:firstLine="0" w:firstLineChars="0"/>
              <w:jc w:val="center"/>
              <w:rPr>
                <w:rFonts w:ascii="仿宋_GB2312" w:hAnsi="仿宋"/>
                <w:b/>
                <w:sz w:val="24"/>
              </w:rPr>
            </w:pPr>
            <w:r>
              <w:rPr>
                <w:rFonts w:hint="eastAsia" w:ascii="仿宋_GB2312" w:hAnsi="仿宋"/>
                <w:b/>
                <w:sz w:val="24"/>
              </w:rPr>
              <w:t>职务/职称</w:t>
            </w:r>
          </w:p>
        </w:tc>
        <w:tc>
          <w:tcPr>
            <w:tcW w:w="1468" w:type="pct"/>
            <w:tcBorders>
              <w:top w:val="single" w:color="auto" w:sz="4" w:space="0"/>
              <w:bottom w:val="single" w:color="auto" w:sz="4" w:space="0"/>
            </w:tcBorders>
            <w:vAlign w:val="center"/>
          </w:tcPr>
          <w:p w14:paraId="565D70CD">
            <w:pPr>
              <w:ind w:firstLine="0" w:firstLineChars="0"/>
              <w:jc w:val="center"/>
              <w:rPr>
                <w:rFonts w:ascii="仿宋_GB2312" w:hAnsi="仿宋"/>
                <w:b/>
                <w:sz w:val="24"/>
              </w:rPr>
            </w:pPr>
            <w:r>
              <w:rPr>
                <w:rFonts w:hint="eastAsia" w:ascii="仿宋_GB2312" w:hAnsi="仿宋"/>
                <w:b/>
                <w:sz w:val="24"/>
              </w:rPr>
              <w:t>工作单位</w:t>
            </w:r>
          </w:p>
        </w:tc>
        <w:tc>
          <w:tcPr>
            <w:tcW w:w="2005" w:type="pct"/>
            <w:tcBorders>
              <w:top w:val="single" w:color="auto" w:sz="4" w:space="0"/>
              <w:bottom w:val="single" w:color="auto" w:sz="4" w:space="0"/>
            </w:tcBorders>
            <w:vAlign w:val="center"/>
          </w:tcPr>
          <w:p w14:paraId="4F44C20E">
            <w:pPr>
              <w:ind w:firstLine="0" w:firstLineChars="0"/>
              <w:jc w:val="center"/>
              <w:rPr>
                <w:rFonts w:ascii="仿宋_GB2312" w:hAnsi="仿宋"/>
                <w:b/>
                <w:sz w:val="24"/>
              </w:rPr>
            </w:pPr>
            <w:r>
              <w:rPr>
                <w:rFonts w:hint="eastAsia" w:ascii="仿宋_GB2312" w:hAnsi="仿宋"/>
                <w:b/>
                <w:sz w:val="24"/>
              </w:rPr>
              <w:t>责任分工</w:t>
            </w:r>
          </w:p>
        </w:tc>
      </w:tr>
      <w:tr w14:paraId="336F22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6ACD87FC">
            <w:pPr>
              <w:ind w:firstLine="0" w:firstLineChars="0"/>
              <w:jc w:val="center"/>
              <w:rPr>
                <w:rFonts w:ascii="仿宋_GB2312" w:hAnsi="宋体" w:cs="Arial"/>
                <w:color w:val="000000"/>
                <w:sz w:val="24"/>
              </w:rPr>
            </w:pPr>
            <w:r>
              <w:rPr>
                <w:rStyle w:val="52"/>
                <w:rFonts w:hint="default" w:ascii="仿宋_GB2312" w:eastAsia="仿宋_GB2312" w:cs="Arial"/>
                <w:sz w:val="24"/>
              </w:rPr>
              <w:t>覃广胜</w:t>
            </w:r>
          </w:p>
        </w:tc>
        <w:tc>
          <w:tcPr>
            <w:tcW w:w="773" w:type="pct"/>
            <w:tcBorders>
              <w:top w:val="single" w:color="auto" w:sz="4" w:space="0"/>
              <w:bottom w:val="single" w:color="auto" w:sz="4" w:space="0"/>
            </w:tcBorders>
            <w:vAlign w:val="center"/>
          </w:tcPr>
          <w:p w14:paraId="2F952177">
            <w:pPr>
              <w:ind w:firstLine="0" w:firstLineChars="0"/>
              <w:jc w:val="center"/>
              <w:rPr>
                <w:rFonts w:ascii="仿宋_GB2312" w:hAnsi="宋体" w:cs="Arial"/>
                <w:color w:val="000000"/>
                <w:sz w:val="24"/>
              </w:rPr>
            </w:pPr>
            <w:r>
              <w:rPr>
                <w:rStyle w:val="52"/>
                <w:rFonts w:hint="default" w:ascii="仿宋_GB2312" w:eastAsia="仿宋_GB2312" w:cs="Arial"/>
                <w:sz w:val="24"/>
              </w:rPr>
              <w:t>研究员</w:t>
            </w:r>
          </w:p>
        </w:tc>
        <w:tc>
          <w:tcPr>
            <w:tcW w:w="1468" w:type="pct"/>
            <w:tcBorders>
              <w:top w:val="single" w:color="auto" w:sz="4" w:space="0"/>
              <w:bottom w:val="single" w:color="auto" w:sz="4" w:space="0"/>
            </w:tcBorders>
            <w:vAlign w:val="center"/>
          </w:tcPr>
          <w:p w14:paraId="6C2F6394">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vAlign w:val="center"/>
          </w:tcPr>
          <w:p w14:paraId="0624BCF9">
            <w:pPr>
              <w:ind w:firstLine="0" w:firstLineChars="0"/>
              <w:rPr>
                <w:rFonts w:ascii="仿宋_GB2312" w:hAnsi="宋体" w:cs="Arial"/>
                <w:color w:val="000000"/>
                <w:sz w:val="24"/>
              </w:rPr>
            </w:pPr>
            <w:r>
              <w:rPr>
                <w:rStyle w:val="52"/>
                <w:rFonts w:hint="default" w:ascii="仿宋_GB2312" w:eastAsia="仿宋_GB2312" w:cs="Arial"/>
                <w:sz w:val="24"/>
              </w:rPr>
              <w:t>统筹主持标准编制工作</w:t>
            </w:r>
          </w:p>
        </w:tc>
      </w:tr>
      <w:tr w14:paraId="58A261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5669EB8B">
            <w:pPr>
              <w:ind w:firstLine="0" w:firstLineChars="0"/>
              <w:jc w:val="center"/>
              <w:rPr>
                <w:rFonts w:ascii="仿宋_GB2312" w:hAnsi="宋体" w:cs="Arial"/>
                <w:color w:val="000000"/>
                <w:sz w:val="24"/>
              </w:rPr>
            </w:pPr>
            <w:r>
              <w:rPr>
                <w:rStyle w:val="52"/>
                <w:rFonts w:hint="default" w:ascii="仿宋_GB2312" w:eastAsia="仿宋_GB2312" w:cs="Arial"/>
                <w:sz w:val="24"/>
              </w:rPr>
              <w:t>梁莎莎</w:t>
            </w:r>
          </w:p>
        </w:tc>
        <w:tc>
          <w:tcPr>
            <w:tcW w:w="773" w:type="pct"/>
            <w:tcBorders>
              <w:top w:val="single" w:color="auto" w:sz="4" w:space="0"/>
              <w:bottom w:val="single" w:color="auto" w:sz="4" w:space="0"/>
            </w:tcBorders>
            <w:vAlign w:val="center"/>
          </w:tcPr>
          <w:p w14:paraId="5B8402F7">
            <w:pPr>
              <w:ind w:firstLine="0" w:firstLineChars="0"/>
              <w:jc w:val="center"/>
              <w:rPr>
                <w:rFonts w:ascii="仿宋_GB2312" w:hAnsi="宋体" w:cs="Arial"/>
                <w:color w:val="000000"/>
                <w:sz w:val="24"/>
              </w:rPr>
            </w:pPr>
            <w:r>
              <w:rPr>
                <w:rStyle w:val="52"/>
                <w:rFonts w:hint="default" w:ascii="仿宋_GB2312" w:eastAsia="仿宋_GB2312" w:cs="Arial"/>
                <w:sz w:val="24"/>
              </w:rPr>
              <w:t>助理研究员</w:t>
            </w:r>
          </w:p>
        </w:tc>
        <w:tc>
          <w:tcPr>
            <w:tcW w:w="1468" w:type="pct"/>
            <w:tcBorders>
              <w:top w:val="single" w:color="auto" w:sz="4" w:space="0"/>
              <w:bottom w:val="single" w:color="auto" w:sz="4" w:space="0"/>
            </w:tcBorders>
          </w:tcPr>
          <w:p w14:paraId="0CAA0DFB">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vAlign w:val="center"/>
          </w:tcPr>
          <w:p w14:paraId="51D26CC8">
            <w:pPr>
              <w:ind w:firstLine="0" w:firstLineChars="0"/>
              <w:rPr>
                <w:rFonts w:ascii="仿宋_GB2312" w:hAnsi="宋体" w:cs="Arial"/>
                <w:color w:val="000000"/>
                <w:sz w:val="24"/>
              </w:rPr>
            </w:pPr>
            <w:r>
              <w:rPr>
                <w:rStyle w:val="52"/>
                <w:rFonts w:hint="default" w:ascii="仿宋_GB2312" w:eastAsia="仿宋_GB2312" w:cs="Arial"/>
                <w:sz w:val="24"/>
              </w:rPr>
              <w:t>参与标准编制工作，组织人员进行标准发布后的宣贯培训。</w:t>
            </w:r>
          </w:p>
        </w:tc>
      </w:tr>
      <w:tr w14:paraId="353AF0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0ABCD5CC">
            <w:pPr>
              <w:ind w:firstLine="0" w:firstLineChars="0"/>
              <w:jc w:val="center"/>
              <w:rPr>
                <w:rFonts w:ascii="仿宋_GB2312" w:hAnsi="宋体" w:cs="Arial"/>
                <w:color w:val="000000"/>
                <w:sz w:val="24"/>
              </w:rPr>
            </w:pPr>
            <w:r>
              <w:rPr>
                <w:rStyle w:val="52"/>
                <w:rFonts w:hint="default" w:ascii="仿宋_GB2312" w:eastAsia="仿宋_GB2312" w:cs="Arial"/>
                <w:sz w:val="24"/>
              </w:rPr>
              <w:t>黄荣春</w:t>
            </w:r>
          </w:p>
        </w:tc>
        <w:tc>
          <w:tcPr>
            <w:tcW w:w="773" w:type="pct"/>
            <w:tcBorders>
              <w:top w:val="single" w:color="auto" w:sz="4" w:space="0"/>
              <w:bottom w:val="single" w:color="auto" w:sz="4" w:space="0"/>
            </w:tcBorders>
            <w:vAlign w:val="center"/>
          </w:tcPr>
          <w:p w14:paraId="551DBDD2">
            <w:pPr>
              <w:ind w:firstLine="0" w:firstLineChars="0"/>
              <w:jc w:val="center"/>
              <w:rPr>
                <w:rFonts w:ascii="仿宋_GB2312" w:hAnsi="宋体" w:cs="Arial"/>
                <w:color w:val="000000"/>
                <w:sz w:val="24"/>
              </w:rPr>
            </w:pPr>
            <w:r>
              <w:rPr>
                <w:rStyle w:val="52"/>
                <w:rFonts w:hint="default" w:ascii="仿宋_GB2312" w:eastAsia="仿宋_GB2312" w:cs="Arial"/>
                <w:sz w:val="24"/>
              </w:rPr>
              <w:t>高级畜牧师</w:t>
            </w:r>
          </w:p>
        </w:tc>
        <w:tc>
          <w:tcPr>
            <w:tcW w:w="1468" w:type="pct"/>
            <w:tcBorders>
              <w:top w:val="single" w:color="auto" w:sz="4" w:space="0"/>
              <w:bottom w:val="single" w:color="auto" w:sz="4" w:space="0"/>
            </w:tcBorders>
          </w:tcPr>
          <w:p w14:paraId="5023EE87">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vAlign w:val="center"/>
          </w:tcPr>
          <w:p w14:paraId="7918F502">
            <w:pPr>
              <w:ind w:firstLine="0" w:firstLineChars="0"/>
              <w:rPr>
                <w:rFonts w:ascii="仿宋_GB2312" w:hAnsi="宋体" w:cs="Arial"/>
                <w:color w:val="000000"/>
                <w:sz w:val="24"/>
              </w:rPr>
            </w:pPr>
            <w:r>
              <w:rPr>
                <w:rStyle w:val="52"/>
                <w:rFonts w:hint="default" w:ascii="仿宋_GB2312" w:eastAsia="仿宋_GB2312" w:cs="Arial"/>
                <w:sz w:val="24"/>
              </w:rPr>
              <w:t>参与标准编制工作，组织人员进行标准发布后的宣贯培训。</w:t>
            </w:r>
          </w:p>
        </w:tc>
      </w:tr>
      <w:tr w14:paraId="564DA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0523487D">
            <w:pPr>
              <w:ind w:firstLine="0" w:firstLineChars="0"/>
              <w:jc w:val="center"/>
              <w:rPr>
                <w:rFonts w:ascii="仿宋_GB2312" w:hAnsi="宋体" w:cs="Arial"/>
                <w:color w:val="000000"/>
                <w:sz w:val="24"/>
              </w:rPr>
            </w:pPr>
            <w:r>
              <w:rPr>
                <w:rStyle w:val="52"/>
                <w:rFonts w:hint="default" w:ascii="仿宋_GB2312" w:eastAsia="仿宋_GB2312" w:cs="Arial"/>
                <w:sz w:val="24"/>
              </w:rPr>
              <w:t>吕冠霖</w:t>
            </w:r>
          </w:p>
        </w:tc>
        <w:tc>
          <w:tcPr>
            <w:tcW w:w="773" w:type="pct"/>
            <w:tcBorders>
              <w:top w:val="single" w:color="auto" w:sz="4" w:space="0"/>
              <w:bottom w:val="single" w:color="auto" w:sz="4" w:space="0"/>
            </w:tcBorders>
            <w:vAlign w:val="center"/>
          </w:tcPr>
          <w:p w14:paraId="4E3DFCCE">
            <w:pPr>
              <w:ind w:firstLine="0" w:firstLineChars="0"/>
              <w:jc w:val="center"/>
              <w:rPr>
                <w:rFonts w:ascii="仿宋_GB2312" w:hAnsi="宋体" w:cs="Arial"/>
                <w:color w:val="000000"/>
                <w:sz w:val="24"/>
              </w:rPr>
            </w:pPr>
            <w:r>
              <w:rPr>
                <w:rStyle w:val="52"/>
                <w:rFonts w:hint="default" w:ascii="仿宋_GB2312" w:eastAsia="仿宋_GB2312" w:cs="Arial"/>
                <w:sz w:val="24"/>
              </w:rPr>
              <w:t>副教授</w:t>
            </w:r>
          </w:p>
        </w:tc>
        <w:tc>
          <w:tcPr>
            <w:tcW w:w="1468" w:type="pct"/>
            <w:tcBorders>
              <w:top w:val="single" w:color="auto" w:sz="4" w:space="0"/>
              <w:bottom w:val="single" w:color="auto" w:sz="4" w:space="0"/>
            </w:tcBorders>
            <w:vAlign w:val="center"/>
          </w:tcPr>
          <w:p w14:paraId="2E9E8C7F">
            <w:pPr>
              <w:ind w:firstLine="0" w:firstLineChars="0"/>
              <w:jc w:val="center"/>
              <w:rPr>
                <w:rFonts w:ascii="仿宋_GB2312" w:hAnsi="宋体" w:cs="Arial"/>
                <w:color w:val="000000"/>
                <w:sz w:val="24"/>
              </w:rPr>
            </w:pPr>
            <w:r>
              <w:rPr>
                <w:rStyle w:val="52"/>
                <w:rFonts w:hint="default" w:ascii="仿宋_GB2312" w:eastAsia="仿宋_GB2312" w:cs="Arial"/>
                <w:sz w:val="24"/>
              </w:rPr>
              <w:t>广西农业工程职业技术学院</w:t>
            </w:r>
          </w:p>
        </w:tc>
        <w:tc>
          <w:tcPr>
            <w:tcW w:w="2005" w:type="pct"/>
            <w:tcBorders>
              <w:top w:val="single" w:color="auto" w:sz="4" w:space="0"/>
              <w:bottom w:val="single" w:color="auto" w:sz="4" w:space="0"/>
              <w:right w:val="single" w:color="auto" w:sz="4" w:space="0"/>
            </w:tcBorders>
          </w:tcPr>
          <w:p w14:paraId="77B3C75B">
            <w:pPr>
              <w:ind w:firstLine="0" w:firstLineChars="0"/>
              <w:rPr>
                <w:rFonts w:ascii="仿宋_GB2312" w:hAnsi="宋体" w:cs="Arial"/>
                <w:color w:val="000000"/>
                <w:sz w:val="24"/>
              </w:rPr>
            </w:pPr>
            <w:r>
              <w:rPr>
                <w:rStyle w:val="52"/>
                <w:rFonts w:hint="default" w:ascii="仿宋_GB2312" w:eastAsia="仿宋_GB2312" w:cs="Arial"/>
                <w:sz w:val="24"/>
              </w:rPr>
              <w:t>参与标准文本及编制说明编写，质量控制。</w:t>
            </w:r>
          </w:p>
        </w:tc>
      </w:tr>
      <w:tr w14:paraId="701606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563F79CC">
            <w:pPr>
              <w:ind w:firstLine="0" w:firstLineChars="0"/>
              <w:jc w:val="center"/>
              <w:rPr>
                <w:rFonts w:ascii="仿宋_GB2312" w:hAnsi="宋体" w:cs="Arial"/>
                <w:color w:val="000000"/>
                <w:sz w:val="24"/>
              </w:rPr>
            </w:pPr>
            <w:r>
              <w:rPr>
                <w:rStyle w:val="52"/>
                <w:rFonts w:hint="default" w:ascii="仿宋_GB2312" w:eastAsia="仿宋_GB2312" w:cs="Arial"/>
                <w:sz w:val="24"/>
              </w:rPr>
              <w:t>于农淇</w:t>
            </w:r>
          </w:p>
        </w:tc>
        <w:tc>
          <w:tcPr>
            <w:tcW w:w="773" w:type="pct"/>
            <w:tcBorders>
              <w:top w:val="single" w:color="auto" w:sz="4" w:space="0"/>
              <w:bottom w:val="single" w:color="auto" w:sz="4" w:space="0"/>
            </w:tcBorders>
            <w:vAlign w:val="center"/>
          </w:tcPr>
          <w:p w14:paraId="25BDD9A0">
            <w:pPr>
              <w:ind w:firstLine="0" w:firstLineChars="0"/>
              <w:jc w:val="center"/>
              <w:rPr>
                <w:rFonts w:ascii="仿宋_GB2312" w:hAnsi="宋体" w:cs="Arial"/>
                <w:color w:val="000000"/>
                <w:sz w:val="24"/>
              </w:rPr>
            </w:pPr>
            <w:r>
              <w:rPr>
                <w:rStyle w:val="52"/>
                <w:rFonts w:hint="default" w:ascii="仿宋_GB2312" w:eastAsia="仿宋_GB2312" w:cs="Arial"/>
                <w:sz w:val="24"/>
              </w:rPr>
              <w:t>助理研究员</w:t>
            </w:r>
          </w:p>
        </w:tc>
        <w:tc>
          <w:tcPr>
            <w:tcW w:w="1468" w:type="pct"/>
            <w:tcBorders>
              <w:top w:val="single" w:color="auto" w:sz="4" w:space="0"/>
              <w:bottom w:val="single" w:color="auto" w:sz="4" w:space="0"/>
            </w:tcBorders>
            <w:vAlign w:val="center"/>
          </w:tcPr>
          <w:p w14:paraId="15358070">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vAlign w:val="center"/>
          </w:tcPr>
          <w:p w14:paraId="1481EDD3">
            <w:pPr>
              <w:ind w:firstLine="0" w:firstLineChars="0"/>
              <w:rPr>
                <w:rFonts w:ascii="仿宋_GB2312" w:hAnsi="宋体" w:cs="Arial"/>
                <w:color w:val="000000"/>
                <w:sz w:val="24"/>
              </w:rPr>
            </w:pPr>
            <w:r>
              <w:rPr>
                <w:rStyle w:val="52"/>
                <w:rFonts w:hint="default" w:ascii="仿宋_GB2312" w:eastAsia="仿宋_GB2312" w:cs="Arial"/>
                <w:sz w:val="24"/>
              </w:rPr>
              <w:t>参与标准文本及编制说明编写，质量控制。</w:t>
            </w:r>
          </w:p>
        </w:tc>
      </w:tr>
      <w:tr w14:paraId="20DB7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54718CFF">
            <w:pPr>
              <w:ind w:firstLine="0" w:firstLineChars="0"/>
              <w:jc w:val="center"/>
              <w:rPr>
                <w:rFonts w:ascii="仿宋_GB2312" w:hAnsi="宋体" w:cs="Arial"/>
                <w:color w:val="000000"/>
                <w:sz w:val="24"/>
              </w:rPr>
            </w:pPr>
            <w:r>
              <w:rPr>
                <w:rStyle w:val="52"/>
                <w:rFonts w:hint="default" w:ascii="仿宋_GB2312" w:eastAsia="仿宋_GB2312" w:cs="Arial"/>
                <w:sz w:val="24"/>
              </w:rPr>
              <w:t>鄢胜飞</w:t>
            </w:r>
          </w:p>
        </w:tc>
        <w:tc>
          <w:tcPr>
            <w:tcW w:w="773" w:type="pct"/>
            <w:tcBorders>
              <w:top w:val="single" w:color="auto" w:sz="4" w:space="0"/>
              <w:bottom w:val="single" w:color="auto" w:sz="4" w:space="0"/>
            </w:tcBorders>
            <w:vAlign w:val="center"/>
          </w:tcPr>
          <w:p w14:paraId="289353CF">
            <w:pPr>
              <w:ind w:firstLine="0" w:firstLineChars="0"/>
              <w:jc w:val="center"/>
              <w:rPr>
                <w:rFonts w:ascii="仿宋_GB2312" w:hAnsi="宋体" w:cs="Arial"/>
                <w:color w:val="000000"/>
                <w:sz w:val="24"/>
              </w:rPr>
            </w:pPr>
            <w:r>
              <w:rPr>
                <w:rStyle w:val="52"/>
                <w:rFonts w:hint="default" w:ascii="仿宋_GB2312" w:eastAsia="仿宋_GB2312" w:cs="Arial"/>
                <w:sz w:val="24"/>
              </w:rPr>
              <w:t>高级畜牧师</w:t>
            </w:r>
          </w:p>
        </w:tc>
        <w:tc>
          <w:tcPr>
            <w:tcW w:w="1468" w:type="pct"/>
            <w:tcBorders>
              <w:top w:val="single" w:color="auto" w:sz="4" w:space="0"/>
              <w:bottom w:val="single" w:color="auto" w:sz="4" w:space="0"/>
            </w:tcBorders>
            <w:vAlign w:val="center"/>
          </w:tcPr>
          <w:p w14:paraId="7CFB8473">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vAlign w:val="center"/>
          </w:tcPr>
          <w:p w14:paraId="7E255FC9">
            <w:pPr>
              <w:ind w:firstLine="0" w:firstLineChars="0"/>
              <w:rPr>
                <w:rFonts w:ascii="仿宋_GB2312" w:hAnsi="宋体" w:cs="Arial"/>
                <w:color w:val="000000"/>
                <w:sz w:val="24"/>
              </w:rPr>
            </w:pPr>
            <w:r>
              <w:rPr>
                <w:rStyle w:val="52"/>
                <w:rFonts w:hint="default" w:ascii="仿宋_GB2312" w:eastAsia="仿宋_GB2312" w:cs="Arial"/>
                <w:sz w:val="24"/>
              </w:rPr>
              <w:t>组织开展标准征求意见会；对标准实施情况进行总结分析，不断对地方标准提出修正意见。</w:t>
            </w:r>
          </w:p>
        </w:tc>
      </w:tr>
      <w:tr w14:paraId="63D6B3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0C22339E">
            <w:pPr>
              <w:ind w:firstLine="0" w:firstLineChars="0"/>
              <w:jc w:val="center"/>
              <w:rPr>
                <w:rStyle w:val="52"/>
                <w:rFonts w:hint="default" w:ascii="仿宋_GB2312" w:eastAsia="仿宋_GB2312" w:cs="Arial"/>
                <w:sz w:val="24"/>
              </w:rPr>
            </w:pPr>
            <w:r>
              <w:rPr>
                <w:rStyle w:val="52"/>
                <w:rFonts w:ascii="仿宋_GB2312" w:eastAsia="仿宋_GB2312" w:cs="Arial"/>
                <w:sz w:val="24"/>
              </w:rPr>
              <w:t>高会江</w:t>
            </w:r>
          </w:p>
        </w:tc>
        <w:tc>
          <w:tcPr>
            <w:tcW w:w="773" w:type="pct"/>
            <w:tcBorders>
              <w:top w:val="single" w:color="auto" w:sz="4" w:space="0"/>
              <w:bottom w:val="single" w:color="auto" w:sz="4" w:space="0"/>
            </w:tcBorders>
            <w:vAlign w:val="center"/>
          </w:tcPr>
          <w:p w14:paraId="30485221">
            <w:pPr>
              <w:ind w:firstLine="0" w:firstLineChars="0"/>
              <w:jc w:val="center"/>
              <w:rPr>
                <w:rStyle w:val="52"/>
                <w:rFonts w:hint="eastAsia" w:ascii="仿宋_GB2312" w:eastAsia="仿宋_GB2312" w:cs="Arial"/>
                <w:sz w:val="24"/>
                <w:lang w:eastAsia="zh-CN"/>
              </w:rPr>
            </w:pPr>
            <w:r>
              <w:rPr>
                <w:rStyle w:val="52"/>
                <w:rFonts w:hint="eastAsia" w:ascii="仿宋_GB2312" w:cs="Arial"/>
                <w:sz w:val="24"/>
                <w:lang w:eastAsia="zh-CN"/>
              </w:rPr>
              <w:t>研究员</w:t>
            </w:r>
            <w:bookmarkStart w:id="3" w:name="_GoBack"/>
            <w:bookmarkEnd w:id="3"/>
          </w:p>
        </w:tc>
        <w:tc>
          <w:tcPr>
            <w:tcW w:w="1468" w:type="pct"/>
            <w:tcBorders>
              <w:top w:val="single" w:color="auto" w:sz="4" w:space="0"/>
              <w:bottom w:val="single" w:color="auto" w:sz="4" w:space="0"/>
            </w:tcBorders>
            <w:vAlign w:val="center"/>
          </w:tcPr>
          <w:p w14:paraId="44E68748">
            <w:pPr>
              <w:ind w:firstLine="0" w:firstLineChars="0"/>
              <w:jc w:val="center"/>
              <w:rPr>
                <w:rStyle w:val="52"/>
                <w:rFonts w:hint="default" w:ascii="仿宋_GB2312" w:eastAsia="仿宋_GB2312" w:cs="Arial"/>
                <w:sz w:val="24"/>
              </w:rPr>
            </w:pPr>
            <w:r>
              <w:rPr>
                <w:rStyle w:val="52"/>
                <w:rFonts w:ascii="仿宋_GB2312" w:eastAsia="仿宋_GB2312" w:cs="Arial"/>
                <w:sz w:val="24"/>
              </w:rPr>
              <w:t>中国农业科学院北京畜牧兽医研究所</w:t>
            </w:r>
          </w:p>
        </w:tc>
        <w:tc>
          <w:tcPr>
            <w:tcW w:w="2005" w:type="pct"/>
            <w:tcBorders>
              <w:top w:val="single" w:color="auto" w:sz="4" w:space="0"/>
              <w:bottom w:val="single" w:color="auto" w:sz="4" w:space="0"/>
              <w:right w:val="single" w:color="auto" w:sz="4" w:space="0"/>
            </w:tcBorders>
            <w:vAlign w:val="center"/>
          </w:tcPr>
          <w:p w14:paraId="7BA670BA">
            <w:pPr>
              <w:ind w:firstLine="0" w:firstLineChars="0"/>
              <w:rPr>
                <w:rStyle w:val="52"/>
                <w:rFonts w:hint="default" w:ascii="仿宋_GB2312" w:eastAsia="仿宋_GB2312" w:cs="Arial"/>
                <w:sz w:val="24"/>
              </w:rPr>
            </w:pPr>
            <w:r>
              <w:rPr>
                <w:rStyle w:val="52"/>
                <w:rFonts w:hint="default" w:ascii="仿宋_GB2312" w:eastAsia="仿宋_GB2312" w:cs="Arial"/>
                <w:sz w:val="24"/>
              </w:rPr>
              <w:t>对标准实施情况进行总结分析，不断对地方标准提出修正意见。</w:t>
            </w:r>
          </w:p>
        </w:tc>
      </w:tr>
      <w:tr w14:paraId="4CB94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3138E7BB">
            <w:pPr>
              <w:ind w:firstLine="0" w:firstLineChars="0"/>
              <w:jc w:val="center"/>
              <w:rPr>
                <w:rFonts w:ascii="仿宋_GB2312" w:hAnsi="宋体" w:cs="Arial"/>
                <w:color w:val="000000"/>
                <w:sz w:val="24"/>
              </w:rPr>
            </w:pPr>
            <w:r>
              <w:rPr>
                <w:rStyle w:val="52"/>
                <w:rFonts w:hint="default" w:ascii="仿宋_GB2312" w:eastAsia="仿宋_GB2312" w:cs="Arial"/>
                <w:sz w:val="24"/>
              </w:rPr>
              <w:t>梁廷文</w:t>
            </w:r>
          </w:p>
        </w:tc>
        <w:tc>
          <w:tcPr>
            <w:tcW w:w="773" w:type="pct"/>
            <w:tcBorders>
              <w:top w:val="single" w:color="auto" w:sz="4" w:space="0"/>
              <w:bottom w:val="single" w:color="auto" w:sz="4" w:space="0"/>
            </w:tcBorders>
            <w:vAlign w:val="center"/>
          </w:tcPr>
          <w:p w14:paraId="4EBB9F35">
            <w:pPr>
              <w:ind w:firstLine="0" w:firstLineChars="0"/>
              <w:jc w:val="center"/>
              <w:rPr>
                <w:rFonts w:ascii="仿宋_GB2312" w:hAnsi="宋体" w:cs="Arial"/>
                <w:color w:val="000000"/>
                <w:sz w:val="24"/>
              </w:rPr>
            </w:pPr>
            <w:r>
              <w:rPr>
                <w:rStyle w:val="52"/>
                <w:rFonts w:hint="default" w:ascii="仿宋_GB2312" w:eastAsia="仿宋_GB2312" w:cs="Arial"/>
                <w:sz w:val="24"/>
              </w:rPr>
              <w:t>高级兽医</w:t>
            </w:r>
            <w:r>
              <w:rPr>
                <w:rFonts w:hint="eastAsia" w:ascii="仿宋_GB2312" w:cs="Arial"/>
                <w:color w:val="000000"/>
                <w:sz w:val="24"/>
              </w:rPr>
              <w:br w:type="textWrapping"/>
            </w:r>
            <w:r>
              <w:rPr>
                <w:rStyle w:val="52"/>
                <w:rFonts w:hint="default" w:ascii="仿宋_GB2312" w:eastAsia="仿宋_GB2312" w:cs="Arial"/>
                <w:sz w:val="24"/>
              </w:rPr>
              <w:t>师</w:t>
            </w:r>
          </w:p>
        </w:tc>
        <w:tc>
          <w:tcPr>
            <w:tcW w:w="1468" w:type="pct"/>
            <w:tcBorders>
              <w:top w:val="single" w:color="auto" w:sz="4" w:space="0"/>
              <w:bottom w:val="single" w:color="auto" w:sz="4" w:space="0"/>
            </w:tcBorders>
            <w:vAlign w:val="center"/>
          </w:tcPr>
          <w:p w14:paraId="14A20343">
            <w:pPr>
              <w:ind w:firstLine="0" w:firstLineChars="0"/>
              <w:jc w:val="center"/>
              <w:rPr>
                <w:rFonts w:ascii="仿宋_GB2312" w:hAnsi="宋体" w:cs="Arial"/>
                <w:color w:val="000000"/>
                <w:sz w:val="24"/>
              </w:rPr>
            </w:pPr>
            <w:r>
              <w:rPr>
                <w:rStyle w:val="52"/>
                <w:rFonts w:hint="default" w:ascii="仿宋_GB2312" w:eastAsia="仿宋_GB2312" w:cs="Arial"/>
                <w:sz w:val="24"/>
              </w:rPr>
              <w:t>灵山县畜牧技术服务站</w:t>
            </w:r>
          </w:p>
        </w:tc>
        <w:tc>
          <w:tcPr>
            <w:tcW w:w="2005" w:type="pct"/>
            <w:tcBorders>
              <w:top w:val="single" w:color="auto" w:sz="4" w:space="0"/>
              <w:bottom w:val="single" w:color="auto" w:sz="4" w:space="0"/>
              <w:right w:val="single" w:color="auto" w:sz="4" w:space="0"/>
            </w:tcBorders>
            <w:vAlign w:val="center"/>
          </w:tcPr>
          <w:p w14:paraId="74C8F9C5">
            <w:pPr>
              <w:ind w:firstLine="0" w:firstLineChars="0"/>
              <w:rPr>
                <w:rFonts w:ascii="仿宋_GB2312" w:hAnsi="宋体" w:cs="Arial"/>
                <w:color w:val="000000"/>
                <w:sz w:val="24"/>
              </w:rPr>
            </w:pPr>
            <w:r>
              <w:rPr>
                <w:rStyle w:val="52"/>
                <w:rFonts w:hint="default" w:ascii="仿宋_GB2312" w:eastAsia="仿宋_GB2312" w:cs="Arial"/>
                <w:sz w:val="24"/>
              </w:rPr>
              <w:t>组织开展标准征求意见会；对标准实施情况进行总结分析，不断对地方标准提出修正意见。</w:t>
            </w:r>
          </w:p>
        </w:tc>
      </w:tr>
      <w:tr w14:paraId="627AEA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7BAC2858">
            <w:pPr>
              <w:ind w:firstLine="0" w:firstLineChars="0"/>
              <w:jc w:val="center"/>
              <w:rPr>
                <w:rFonts w:ascii="仿宋_GB2312" w:hAnsi="宋体" w:cs="Arial"/>
                <w:color w:val="000000"/>
                <w:sz w:val="24"/>
              </w:rPr>
            </w:pPr>
            <w:r>
              <w:rPr>
                <w:rStyle w:val="52"/>
                <w:rFonts w:hint="default" w:ascii="仿宋_GB2312" w:eastAsia="仿宋_GB2312" w:cs="Arial"/>
                <w:sz w:val="24"/>
              </w:rPr>
              <w:t>周家茂</w:t>
            </w:r>
          </w:p>
        </w:tc>
        <w:tc>
          <w:tcPr>
            <w:tcW w:w="773" w:type="pct"/>
            <w:tcBorders>
              <w:top w:val="single" w:color="auto" w:sz="4" w:space="0"/>
              <w:bottom w:val="single" w:color="auto" w:sz="4" w:space="0"/>
            </w:tcBorders>
            <w:vAlign w:val="center"/>
          </w:tcPr>
          <w:p w14:paraId="0972AD37">
            <w:pPr>
              <w:ind w:firstLine="0" w:firstLineChars="0"/>
              <w:jc w:val="center"/>
              <w:rPr>
                <w:rFonts w:ascii="仿宋_GB2312" w:hAnsi="宋体" w:cs="Arial"/>
                <w:color w:val="000000"/>
                <w:sz w:val="24"/>
              </w:rPr>
            </w:pPr>
            <w:r>
              <w:rPr>
                <w:rStyle w:val="52"/>
                <w:rFonts w:hint="default" w:ascii="仿宋_GB2312" w:eastAsia="仿宋_GB2312" w:cs="Arial"/>
                <w:sz w:val="24"/>
              </w:rPr>
              <w:t>兽医师</w:t>
            </w:r>
          </w:p>
        </w:tc>
        <w:tc>
          <w:tcPr>
            <w:tcW w:w="1468" w:type="pct"/>
            <w:tcBorders>
              <w:top w:val="single" w:color="auto" w:sz="4" w:space="0"/>
              <w:bottom w:val="single" w:color="auto" w:sz="4" w:space="0"/>
            </w:tcBorders>
            <w:vAlign w:val="center"/>
          </w:tcPr>
          <w:p w14:paraId="56AB6FD3">
            <w:pPr>
              <w:ind w:firstLine="0" w:firstLineChars="0"/>
              <w:jc w:val="center"/>
              <w:rPr>
                <w:rFonts w:ascii="仿宋_GB2312" w:hAnsi="宋体" w:cs="Arial"/>
                <w:color w:val="000000"/>
                <w:sz w:val="24"/>
              </w:rPr>
            </w:pPr>
            <w:r>
              <w:rPr>
                <w:rStyle w:val="52"/>
                <w:rFonts w:hint="default" w:ascii="仿宋_GB2312" w:eastAsia="仿宋_GB2312" w:cs="Arial"/>
                <w:sz w:val="24"/>
              </w:rPr>
              <w:t>灵山县农业农村局</w:t>
            </w:r>
          </w:p>
        </w:tc>
        <w:tc>
          <w:tcPr>
            <w:tcW w:w="2005" w:type="pct"/>
            <w:tcBorders>
              <w:top w:val="single" w:color="auto" w:sz="4" w:space="0"/>
              <w:bottom w:val="single" w:color="auto" w:sz="4" w:space="0"/>
              <w:right w:val="single" w:color="auto" w:sz="4" w:space="0"/>
            </w:tcBorders>
            <w:vAlign w:val="center"/>
          </w:tcPr>
          <w:p w14:paraId="110850F4">
            <w:pPr>
              <w:ind w:firstLine="0" w:firstLineChars="0"/>
              <w:rPr>
                <w:rFonts w:ascii="仿宋_GB2312" w:hAnsi="宋体" w:cs="Arial"/>
                <w:color w:val="000000"/>
                <w:sz w:val="24"/>
              </w:rPr>
            </w:pPr>
            <w:r>
              <w:rPr>
                <w:rStyle w:val="52"/>
                <w:rFonts w:hint="default" w:ascii="仿宋_GB2312" w:eastAsia="仿宋_GB2312" w:cs="Arial"/>
                <w:sz w:val="24"/>
              </w:rPr>
              <w:t>对标准实施情况进行总结分析，不断对地方标准提出修正意见。</w:t>
            </w:r>
          </w:p>
        </w:tc>
      </w:tr>
      <w:tr w14:paraId="703FEB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34D42C7D">
            <w:pPr>
              <w:ind w:firstLine="0" w:firstLineChars="0"/>
              <w:jc w:val="center"/>
              <w:rPr>
                <w:rFonts w:ascii="仿宋_GB2312" w:hAnsi="宋体" w:cs="Arial"/>
                <w:color w:val="000000"/>
                <w:sz w:val="24"/>
              </w:rPr>
            </w:pPr>
            <w:r>
              <w:rPr>
                <w:rStyle w:val="52"/>
                <w:rFonts w:hint="default" w:ascii="仿宋_GB2312" w:eastAsia="仿宋_GB2312" w:cs="Arial"/>
                <w:sz w:val="24"/>
              </w:rPr>
              <w:t>赖玉</w:t>
            </w:r>
            <w:r>
              <w:rPr>
                <w:rStyle w:val="52"/>
                <w:rFonts w:hint="default" w:cs="宋体"/>
                <w:sz w:val="24"/>
              </w:rPr>
              <w:t>燊</w:t>
            </w:r>
          </w:p>
        </w:tc>
        <w:tc>
          <w:tcPr>
            <w:tcW w:w="773" w:type="pct"/>
            <w:tcBorders>
              <w:top w:val="single" w:color="auto" w:sz="4" w:space="0"/>
              <w:bottom w:val="single" w:color="auto" w:sz="4" w:space="0"/>
            </w:tcBorders>
            <w:vAlign w:val="center"/>
          </w:tcPr>
          <w:p w14:paraId="3DC02D53">
            <w:pPr>
              <w:ind w:firstLine="0" w:firstLineChars="0"/>
              <w:jc w:val="center"/>
              <w:rPr>
                <w:rFonts w:ascii="仿宋_GB2312" w:hAnsi="宋体" w:cs="Arial"/>
                <w:color w:val="000000"/>
                <w:sz w:val="24"/>
              </w:rPr>
            </w:pPr>
            <w:r>
              <w:rPr>
                <w:rStyle w:val="52"/>
                <w:rFonts w:hint="default" w:ascii="仿宋_GB2312" w:eastAsia="仿宋_GB2312" w:cs="Arial"/>
                <w:sz w:val="24"/>
              </w:rPr>
              <w:t>兽医师</w:t>
            </w:r>
          </w:p>
        </w:tc>
        <w:tc>
          <w:tcPr>
            <w:tcW w:w="1468" w:type="pct"/>
            <w:tcBorders>
              <w:top w:val="single" w:color="auto" w:sz="4" w:space="0"/>
              <w:bottom w:val="single" w:color="auto" w:sz="4" w:space="0"/>
            </w:tcBorders>
            <w:vAlign w:val="center"/>
          </w:tcPr>
          <w:p w14:paraId="20E5AA7C">
            <w:pPr>
              <w:ind w:firstLine="0" w:firstLineChars="0"/>
              <w:jc w:val="center"/>
              <w:rPr>
                <w:rFonts w:ascii="仿宋_GB2312" w:hAnsi="宋体" w:cs="Arial"/>
                <w:color w:val="000000"/>
                <w:sz w:val="24"/>
              </w:rPr>
            </w:pPr>
            <w:r>
              <w:rPr>
                <w:rStyle w:val="52"/>
                <w:rFonts w:hint="default" w:ascii="仿宋_GB2312" w:eastAsia="仿宋_GB2312" w:cs="Arial"/>
                <w:sz w:val="24"/>
              </w:rPr>
              <w:t>广西农业工程职业技术学院</w:t>
            </w:r>
          </w:p>
        </w:tc>
        <w:tc>
          <w:tcPr>
            <w:tcW w:w="2005" w:type="pct"/>
            <w:tcBorders>
              <w:top w:val="single" w:color="auto" w:sz="4" w:space="0"/>
              <w:bottom w:val="single" w:color="auto" w:sz="4" w:space="0"/>
              <w:right w:val="single" w:color="auto" w:sz="4" w:space="0"/>
            </w:tcBorders>
          </w:tcPr>
          <w:p w14:paraId="20D86F51">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6A6E3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3AB3F81B">
            <w:pPr>
              <w:ind w:firstLine="0" w:firstLineChars="0"/>
              <w:jc w:val="center"/>
              <w:rPr>
                <w:rFonts w:ascii="仿宋_GB2312" w:hAnsi="宋体" w:cs="Arial"/>
                <w:color w:val="000000"/>
                <w:sz w:val="24"/>
              </w:rPr>
            </w:pPr>
            <w:r>
              <w:rPr>
                <w:rStyle w:val="52"/>
                <w:rFonts w:hint="default" w:ascii="仿宋_GB2312" w:eastAsia="仿宋_GB2312" w:cs="Arial"/>
                <w:sz w:val="24"/>
              </w:rPr>
              <w:t>李厅厅</w:t>
            </w:r>
          </w:p>
        </w:tc>
        <w:tc>
          <w:tcPr>
            <w:tcW w:w="773" w:type="pct"/>
            <w:tcBorders>
              <w:top w:val="single" w:color="auto" w:sz="4" w:space="0"/>
              <w:bottom w:val="single" w:color="auto" w:sz="4" w:space="0"/>
            </w:tcBorders>
            <w:vAlign w:val="center"/>
          </w:tcPr>
          <w:p w14:paraId="171E28FD">
            <w:pPr>
              <w:ind w:firstLine="0" w:firstLineChars="0"/>
              <w:jc w:val="center"/>
              <w:rPr>
                <w:rFonts w:ascii="仿宋_GB2312" w:hAnsi="宋体" w:cs="Arial"/>
                <w:color w:val="000000"/>
                <w:sz w:val="24"/>
              </w:rPr>
            </w:pPr>
            <w:r>
              <w:rPr>
                <w:rStyle w:val="52"/>
                <w:rFonts w:hint="default" w:ascii="仿宋_GB2312" w:eastAsia="仿宋_GB2312" w:cs="Arial"/>
                <w:sz w:val="24"/>
              </w:rPr>
              <w:t>畜牧师</w:t>
            </w:r>
          </w:p>
        </w:tc>
        <w:tc>
          <w:tcPr>
            <w:tcW w:w="1468" w:type="pct"/>
            <w:tcBorders>
              <w:top w:val="single" w:color="auto" w:sz="4" w:space="0"/>
              <w:bottom w:val="single" w:color="auto" w:sz="4" w:space="0"/>
            </w:tcBorders>
            <w:vAlign w:val="center"/>
          </w:tcPr>
          <w:p w14:paraId="72EEC34C">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29879B81">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095C07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337E190A">
            <w:pPr>
              <w:ind w:firstLine="0" w:firstLineChars="0"/>
              <w:jc w:val="center"/>
              <w:rPr>
                <w:rFonts w:ascii="仿宋_GB2312" w:hAnsi="宋体" w:cs="Arial"/>
                <w:color w:val="000000"/>
                <w:sz w:val="24"/>
              </w:rPr>
            </w:pPr>
            <w:r>
              <w:rPr>
                <w:rStyle w:val="52"/>
                <w:rFonts w:hint="default" w:ascii="仿宋_GB2312" w:eastAsia="仿宋_GB2312" w:cs="Arial"/>
                <w:sz w:val="24"/>
              </w:rPr>
              <w:t>潘伟军</w:t>
            </w:r>
          </w:p>
        </w:tc>
        <w:tc>
          <w:tcPr>
            <w:tcW w:w="773" w:type="pct"/>
            <w:tcBorders>
              <w:top w:val="single" w:color="auto" w:sz="4" w:space="0"/>
              <w:bottom w:val="single" w:color="auto" w:sz="4" w:space="0"/>
            </w:tcBorders>
            <w:vAlign w:val="center"/>
          </w:tcPr>
          <w:p w14:paraId="13C3CA3E">
            <w:pPr>
              <w:ind w:firstLine="0" w:firstLineChars="0"/>
              <w:jc w:val="center"/>
              <w:rPr>
                <w:rFonts w:ascii="仿宋_GB2312" w:hAnsi="宋体" w:cs="Arial"/>
                <w:color w:val="000000"/>
                <w:sz w:val="24"/>
              </w:rPr>
            </w:pPr>
            <w:r>
              <w:rPr>
                <w:rStyle w:val="52"/>
                <w:rFonts w:hint="default" w:ascii="仿宋_GB2312" w:eastAsia="仿宋_GB2312" w:cs="Arial"/>
                <w:sz w:val="24"/>
              </w:rPr>
              <w:t>/</w:t>
            </w:r>
          </w:p>
        </w:tc>
        <w:tc>
          <w:tcPr>
            <w:tcW w:w="1468" w:type="pct"/>
            <w:tcBorders>
              <w:top w:val="single" w:color="auto" w:sz="4" w:space="0"/>
              <w:bottom w:val="single" w:color="auto" w:sz="4" w:space="0"/>
            </w:tcBorders>
            <w:vAlign w:val="center"/>
          </w:tcPr>
          <w:p w14:paraId="66BDB504">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11D70308">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53091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4327DB0E">
            <w:pPr>
              <w:ind w:firstLine="0" w:firstLineChars="0"/>
              <w:jc w:val="center"/>
              <w:rPr>
                <w:rFonts w:ascii="仿宋_GB2312" w:hAnsi="宋体" w:cs="Arial"/>
                <w:color w:val="000000"/>
                <w:sz w:val="24"/>
              </w:rPr>
            </w:pPr>
            <w:r>
              <w:rPr>
                <w:rStyle w:val="52"/>
                <w:rFonts w:hint="default" w:ascii="仿宋_GB2312" w:eastAsia="仿宋_GB2312" w:cs="Arial"/>
                <w:sz w:val="24"/>
              </w:rPr>
              <w:t>曾令湖</w:t>
            </w:r>
          </w:p>
        </w:tc>
        <w:tc>
          <w:tcPr>
            <w:tcW w:w="773" w:type="pct"/>
            <w:tcBorders>
              <w:top w:val="single" w:color="auto" w:sz="4" w:space="0"/>
              <w:bottom w:val="single" w:color="auto" w:sz="4" w:space="0"/>
            </w:tcBorders>
            <w:vAlign w:val="center"/>
          </w:tcPr>
          <w:p w14:paraId="112C1E8B">
            <w:pPr>
              <w:ind w:firstLine="0" w:firstLineChars="0"/>
              <w:jc w:val="center"/>
              <w:rPr>
                <w:rFonts w:ascii="仿宋_GB2312" w:hAnsi="宋体" w:cs="Arial"/>
                <w:color w:val="000000"/>
                <w:sz w:val="24"/>
              </w:rPr>
            </w:pPr>
            <w:r>
              <w:rPr>
                <w:rStyle w:val="52"/>
                <w:rFonts w:hint="default" w:ascii="仿宋_GB2312" w:eastAsia="仿宋_GB2312" w:cs="Arial"/>
                <w:sz w:val="24"/>
              </w:rPr>
              <w:t>畜牧师</w:t>
            </w:r>
          </w:p>
        </w:tc>
        <w:tc>
          <w:tcPr>
            <w:tcW w:w="1468" w:type="pct"/>
            <w:tcBorders>
              <w:top w:val="single" w:color="auto" w:sz="4" w:space="0"/>
              <w:bottom w:val="single" w:color="auto" w:sz="4" w:space="0"/>
            </w:tcBorders>
            <w:vAlign w:val="center"/>
          </w:tcPr>
          <w:p w14:paraId="07961CFB">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615D5884">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165094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04FA30EF">
            <w:pPr>
              <w:ind w:firstLine="0" w:firstLineChars="0"/>
              <w:jc w:val="center"/>
              <w:rPr>
                <w:rFonts w:ascii="仿宋_GB2312" w:hAnsi="宋体" w:cs="Arial"/>
                <w:color w:val="000000"/>
                <w:sz w:val="24"/>
              </w:rPr>
            </w:pPr>
            <w:r>
              <w:rPr>
                <w:rStyle w:val="52"/>
                <w:rFonts w:hint="default" w:ascii="仿宋_GB2312" w:eastAsia="仿宋_GB2312" w:cs="Arial"/>
                <w:sz w:val="24"/>
              </w:rPr>
              <w:t>张起强</w:t>
            </w:r>
          </w:p>
        </w:tc>
        <w:tc>
          <w:tcPr>
            <w:tcW w:w="773" w:type="pct"/>
            <w:tcBorders>
              <w:top w:val="single" w:color="auto" w:sz="4" w:space="0"/>
              <w:bottom w:val="single" w:color="auto" w:sz="4" w:space="0"/>
            </w:tcBorders>
            <w:vAlign w:val="center"/>
          </w:tcPr>
          <w:p w14:paraId="700BD201">
            <w:pPr>
              <w:ind w:firstLine="0" w:firstLineChars="0"/>
              <w:jc w:val="center"/>
              <w:rPr>
                <w:rFonts w:ascii="仿宋_GB2312" w:hAnsi="宋体" w:cs="Arial"/>
                <w:color w:val="000000"/>
                <w:sz w:val="24"/>
              </w:rPr>
            </w:pPr>
            <w:r>
              <w:rPr>
                <w:rStyle w:val="52"/>
                <w:rFonts w:hint="default" w:ascii="仿宋_GB2312" w:eastAsia="仿宋_GB2312" w:cs="Arial"/>
                <w:sz w:val="24"/>
              </w:rPr>
              <w:t>畜牧师</w:t>
            </w:r>
          </w:p>
        </w:tc>
        <w:tc>
          <w:tcPr>
            <w:tcW w:w="1468" w:type="pct"/>
            <w:tcBorders>
              <w:top w:val="single" w:color="auto" w:sz="4" w:space="0"/>
              <w:bottom w:val="single" w:color="auto" w:sz="4" w:space="0"/>
            </w:tcBorders>
            <w:vAlign w:val="center"/>
          </w:tcPr>
          <w:p w14:paraId="0E1B7082">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08DE9815">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4E532A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2030225B">
            <w:pPr>
              <w:ind w:firstLine="0" w:firstLineChars="0"/>
              <w:jc w:val="center"/>
              <w:rPr>
                <w:rFonts w:ascii="仿宋_GB2312" w:hAnsi="宋体" w:cs="Arial"/>
                <w:color w:val="000000"/>
                <w:sz w:val="24"/>
              </w:rPr>
            </w:pPr>
            <w:r>
              <w:rPr>
                <w:rStyle w:val="52"/>
                <w:rFonts w:hint="default" w:ascii="仿宋_GB2312" w:eastAsia="仿宋_GB2312" w:cs="Arial"/>
                <w:sz w:val="24"/>
              </w:rPr>
              <w:t>梁 卉</w:t>
            </w:r>
          </w:p>
        </w:tc>
        <w:tc>
          <w:tcPr>
            <w:tcW w:w="773" w:type="pct"/>
            <w:tcBorders>
              <w:top w:val="single" w:color="auto" w:sz="4" w:space="0"/>
              <w:bottom w:val="single" w:color="auto" w:sz="4" w:space="0"/>
            </w:tcBorders>
            <w:vAlign w:val="center"/>
          </w:tcPr>
          <w:p w14:paraId="0C9E1C5F">
            <w:pPr>
              <w:ind w:firstLine="0" w:firstLineChars="0"/>
              <w:jc w:val="center"/>
              <w:rPr>
                <w:rFonts w:ascii="仿宋_GB2312" w:hAnsi="宋体" w:cs="Arial"/>
                <w:color w:val="000000"/>
                <w:sz w:val="24"/>
              </w:rPr>
            </w:pPr>
            <w:r>
              <w:rPr>
                <w:rStyle w:val="52"/>
                <w:rFonts w:hint="default" w:ascii="仿宋_GB2312" w:eastAsia="仿宋_GB2312" w:cs="Arial"/>
                <w:sz w:val="24"/>
              </w:rPr>
              <w:t>/</w:t>
            </w:r>
          </w:p>
        </w:tc>
        <w:tc>
          <w:tcPr>
            <w:tcW w:w="1468" w:type="pct"/>
            <w:tcBorders>
              <w:top w:val="single" w:color="auto" w:sz="4" w:space="0"/>
              <w:bottom w:val="single" w:color="auto" w:sz="4" w:space="0"/>
            </w:tcBorders>
            <w:vAlign w:val="center"/>
          </w:tcPr>
          <w:p w14:paraId="632D98BA">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33139926">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57957E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672372EA">
            <w:pPr>
              <w:ind w:firstLine="0" w:firstLineChars="0"/>
              <w:jc w:val="center"/>
              <w:rPr>
                <w:rFonts w:ascii="仿宋_GB2312" w:hAnsi="宋体" w:cs="Arial"/>
                <w:color w:val="000000"/>
                <w:sz w:val="24"/>
              </w:rPr>
            </w:pPr>
            <w:r>
              <w:rPr>
                <w:rStyle w:val="52"/>
                <w:rFonts w:hint="default" w:ascii="仿宋_GB2312" w:eastAsia="仿宋_GB2312" w:cs="Arial"/>
                <w:sz w:val="24"/>
              </w:rPr>
              <w:t>文崇利</w:t>
            </w:r>
          </w:p>
        </w:tc>
        <w:tc>
          <w:tcPr>
            <w:tcW w:w="773" w:type="pct"/>
            <w:tcBorders>
              <w:top w:val="single" w:color="auto" w:sz="4" w:space="0"/>
              <w:bottom w:val="single" w:color="auto" w:sz="4" w:space="0"/>
            </w:tcBorders>
            <w:vAlign w:val="center"/>
          </w:tcPr>
          <w:p w14:paraId="2BC1262B">
            <w:pPr>
              <w:ind w:firstLine="0" w:firstLineChars="0"/>
              <w:jc w:val="center"/>
              <w:rPr>
                <w:rFonts w:ascii="仿宋_GB2312" w:hAnsi="宋体" w:cs="Arial"/>
                <w:color w:val="000000"/>
                <w:sz w:val="24"/>
              </w:rPr>
            </w:pPr>
            <w:r>
              <w:rPr>
                <w:rStyle w:val="52"/>
                <w:rFonts w:hint="default" w:ascii="仿宋_GB2312" w:eastAsia="仿宋_GB2312" w:cs="Arial"/>
                <w:sz w:val="24"/>
              </w:rPr>
              <w:t>场长/高级</w:t>
            </w:r>
            <w:r>
              <w:rPr>
                <w:rFonts w:hint="eastAsia" w:ascii="仿宋_GB2312" w:cs="Arial"/>
                <w:color w:val="000000"/>
                <w:sz w:val="24"/>
              </w:rPr>
              <w:br w:type="textWrapping"/>
            </w:r>
            <w:r>
              <w:rPr>
                <w:rStyle w:val="52"/>
                <w:rFonts w:hint="default" w:ascii="仿宋_GB2312" w:eastAsia="仿宋_GB2312" w:cs="Arial"/>
                <w:sz w:val="24"/>
              </w:rPr>
              <w:t>兽医师</w:t>
            </w:r>
          </w:p>
        </w:tc>
        <w:tc>
          <w:tcPr>
            <w:tcW w:w="1468" w:type="pct"/>
            <w:tcBorders>
              <w:top w:val="single" w:color="auto" w:sz="4" w:space="0"/>
              <w:bottom w:val="single" w:color="auto" w:sz="4" w:space="0"/>
            </w:tcBorders>
            <w:vAlign w:val="center"/>
          </w:tcPr>
          <w:p w14:paraId="12AEA3C7">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08A03097">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763EAF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1B51F8B2">
            <w:pPr>
              <w:ind w:firstLine="0" w:firstLineChars="0"/>
              <w:jc w:val="center"/>
              <w:rPr>
                <w:rFonts w:ascii="仿宋_GB2312" w:hAnsi="宋体" w:cs="Arial"/>
                <w:color w:val="000000"/>
                <w:sz w:val="24"/>
              </w:rPr>
            </w:pPr>
            <w:r>
              <w:rPr>
                <w:rStyle w:val="52"/>
                <w:rFonts w:hint="default" w:ascii="仿宋_GB2312" w:eastAsia="仿宋_GB2312" w:cs="Arial"/>
                <w:sz w:val="24"/>
              </w:rPr>
              <w:t>冯 玲</w:t>
            </w:r>
          </w:p>
        </w:tc>
        <w:tc>
          <w:tcPr>
            <w:tcW w:w="773" w:type="pct"/>
            <w:tcBorders>
              <w:top w:val="single" w:color="auto" w:sz="4" w:space="0"/>
              <w:bottom w:val="single" w:color="auto" w:sz="4" w:space="0"/>
            </w:tcBorders>
            <w:vAlign w:val="center"/>
          </w:tcPr>
          <w:p w14:paraId="54260E51">
            <w:pPr>
              <w:ind w:firstLine="0" w:firstLineChars="0"/>
              <w:jc w:val="center"/>
              <w:rPr>
                <w:rFonts w:ascii="仿宋_GB2312" w:hAnsi="宋体" w:cs="Arial"/>
                <w:color w:val="000000"/>
                <w:sz w:val="24"/>
              </w:rPr>
            </w:pPr>
            <w:r>
              <w:rPr>
                <w:rStyle w:val="52"/>
                <w:rFonts w:hint="default" w:ascii="仿宋_GB2312" w:eastAsia="仿宋_GB2312" w:cs="Arial"/>
                <w:sz w:val="24"/>
              </w:rPr>
              <w:t>高级畜牧师</w:t>
            </w:r>
          </w:p>
        </w:tc>
        <w:tc>
          <w:tcPr>
            <w:tcW w:w="1468" w:type="pct"/>
            <w:tcBorders>
              <w:top w:val="single" w:color="auto" w:sz="4" w:space="0"/>
              <w:bottom w:val="single" w:color="auto" w:sz="4" w:space="0"/>
            </w:tcBorders>
            <w:vAlign w:val="center"/>
          </w:tcPr>
          <w:p w14:paraId="62A7B748">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14C86562">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69B5E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08D567BD">
            <w:pPr>
              <w:ind w:firstLine="0" w:firstLineChars="0"/>
              <w:jc w:val="center"/>
              <w:rPr>
                <w:rFonts w:ascii="仿宋_GB2312" w:hAnsi="宋体" w:cs="Arial"/>
                <w:color w:val="000000"/>
                <w:sz w:val="24"/>
              </w:rPr>
            </w:pPr>
            <w:r>
              <w:rPr>
                <w:rStyle w:val="52"/>
                <w:rFonts w:hint="default" w:ascii="仿宋_GB2312" w:eastAsia="仿宋_GB2312" w:cs="Arial"/>
                <w:sz w:val="24"/>
              </w:rPr>
              <w:t>潘玉红</w:t>
            </w:r>
          </w:p>
        </w:tc>
        <w:tc>
          <w:tcPr>
            <w:tcW w:w="773" w:type="pct"/>
            <w:tcBorders>
              <w:top w:val="single" w:color="auto" w:sz="4" w:space="0"/>
              <w:bottom w:val="single" w:color="auto" w:sz="4" w:space="0"/>
            </w:tcBorders>
            <w:vAlign w:val="center"/>
          </w:tcPr>
          <w:p w14:paraId="6D33B678">
            <w:pPr>
              <w:ind w:firstLine="0" w:firstLineChars="0"/>
              <w:jc w:val="center"/>
              <w:rPr>
                <w:rFonts w:ascii="仿宋_GB2312" w:hAnsi="宋体" w:cs="Arial"/>
                <w:color w:val="000000"/>
                <w:sz w:val="24"/>
              </w:rPr>
            </w:pPr>
            <w:r>
              <w:rPr>
                <w:rStyle w:val="52"/>
                <w:rFonts w:hint="default" w:ascii="仿宋_GB2312" w:eastAsia="仿宋_GB2312" w:cs="Arial"/>
                <w:sz w:val="24"/>
              </w:rPr>
              <w:t>畜牧师</w:t>
            </w:r>
          </w:p>
        </w:tc>
        <w:tc>
          <w:tcPr>
            <w:tcW w:w="1468" w:type="pct"/>
            <w:tcBorders>
              <w:top w:val="single" w:color="auto" w:sz="4" w:space="0"/>
              <w:bottom w:val="single" w:color="auto" w:sz="4" w:space="0"/>
            </w:tcBorders>
            <w:vAlign w:val="center"/>
          </w:tcPr>
          <w:p w14:paraId="78E712F6">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4C1D1116">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6EB6C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474DB141">
            <w:pPr>
              <w:ind w:firstLine="0" w:firstLineChars="0"/>
              <w:jc w:val="center"/>
              <w:rPr>
                <w:rFonts w:ascii="仿宋_GB2312" w:hAnsi="宋体" w:cs="Arial"/>
                <w:color w:val="000000"/>
                <w:sz w:val="24"/>
              </w:rPr>
            </w:pPr>
            <w:r>
              <w:rPr>
                <w:rStyle w:val="52"/>
                <w:rFonts w:hint="default" w:ascii="仿宋_GB2312" w:eastAsia="仿宋_GB2312" w:cs="Arial"/>
                <w:sz w:val="24"/>
              </w:rPr>
              <w:t>韦科龙</w:t>
            </w:r>
          </w:p>
        </w:tc>
        <w:tc>
          <w:tcPr>
            <w:tcW w:w="773" w:type="pct"/>
            <w:tcBorders>
              <w:top w:val="single" w:color="auto" w:sz="4" w:space="0"/>
              <w:bottom w:val="single" w:color="auto" w:sz="4" w:space="0"/>
            </w:tcBorders>
            <w:vAlign w:val="center"/>
          </w:tcPr>
          <w:p w14:paraId="7F71158C">
            <w:pPr>
              <w:ind w:firstLine="0" w:firstLineChars="0"/>
              <w:jc w:val="center"/>
              <w:rPr>
                <w:rFonts w:ascii="仿宋_GB2312" w:hAnsi="宋体" w:cs="Arial"/>
                <w:color w:val="000000"/>
                <w:sz w:val="24"/>
              </w:rPr>
            </w:pPr>
            <w:r>
              <w:rPr>
                <w:rStyle w:val="52"/>
                <w:rFonts w:hint="default" w:ascii="仿宋_GB2312" w:eastAsia="仿宋_GB2312" w:cs="Arial"/>
                <w:sz w:val="24"/>
              </w:rPr>
              <w:t>高级畜牧师</w:t>
            </w:r>
          </w:p>
        </w:tc>
        <w:tc>
          <w:tcPr>
            <w:tcW w:w="1468" w:type="pct"/>
            <w:tcBorders>
              <w:top w:val="single" w:color="auto" w:sz="4" w:space="0"/>
              <w:bottom w:val="single" w:color="auto" w:sz="4" w:space="0"/>
            </w:tcBorders>
            <w:vAlign w:val="center"/>
          </w:tcPr>
          <w:p w14:paraId="539142A3">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广西壮族自治区水牛研究所</w:t>
            </w:r>
          </w:p>
        </w:tc>
        <w:tc>
          <w:tcPr>
            <w:tcW w:w="2005" w:type="pct"/>
            <w:tcBorders>
              <w:top w:val="single" w:color="auto" w:sz="4" w:space="0"/>
              <w:bottom w:val="single" w:color="auto" w:sz="4" w:space="0"/>
              <w:right w:val="single" w:color="auto" w:sz="4" w:space="0"/>
            </w:tcBorders>
          </w:tcPr>
          <w:p w14:paraId="2839888B">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6A8DC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4149BF93">
            <w:pPr>
              <w:ind w:firstLine="0" w:firstLineChars="0"/>
              <w:jc w:val="center"/>
              <w:rPr>
                <w:rFonts w:ascii="仿宋_GB2312" w:hAnsi="宋体" w:cs="Arial"/>
                <w:color w:val="000000"/>
                <w:sz w:val="24"/>
              </w:rPr>
            </w:pPr>
            <w:r>
              <w:rPr>
                <w:rStyle w:val="52"/>
                <w:rFonts w:hint="default" w:ascii="仿宋_GB2312" w:eastAsia="仿宋_GB2312" w:cs="Arial"/>
                <w:sz w:val="24"/>
              </w:rPr>
              <w:t>邓祝新</w:t>
            </w:r>
          </w:p>
        </w:tc>
        <w:tc>
          <w:tcPr>
            <w:tcW w:w="773" w:type="pct"/>
            <w:tcBorders>
              <w:top w:val="single" w:color="auto" w:sz="4" w:space="0"/>
              <w:bottom w:val="single" w:color="auto" w:sz="4" w:space="0"/>
            </w:tcBorders>
            <w:vAlign w:val="center"/>
          </w:tcPr>
          <w:p w14:paraId="2BA3812D">
            <w:pPr>
              <w:ind w:firstLine="0" w:firstLineChars="0"/>
              <w:jc w:val="center"/>
              <w:rPr>
                <w:rFonts w:ascii="仿宋_GB2312" w:hAnsi="宋体" w:cs="Arial"/>
                <w:color w:val="000000"/>
                <w:sz w:val="24"/>
              </w:rPr>
            </w:pPr>
            <w:r>
              <w:rPr>
                <w:rStyle w:val="52"/>
                <w:rFonts w:hint="default" w:ascii="仿宋_GB2312" w:eastAsia="仿宋_GB2312" w:cs="Arial"/>
                <w:sz w:val="24"/>
              </w:rPr>
              <w:t>高级畜牧师</w:t>
            </w:r>
          </w:p>
        </w:tc>
        <w:tc>
          <w:tcPr>
            <w:tcW w:w="1468" w:type="pct"/>
            <w:tcBorders>
              <w:top w:val="single" w:color="auto" w:sz="4" w:space="0"/>
              <w:bottom w:val="single" w:color="auto" w:sz="4" w:space="0"/>
            </w:tcBorders>
            <w:vAlign w:val="center"/>
          </w:tcPr>
          <w:p w14:paraId="006F73F0">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广西壮族自治区畜禽品种改良站</w:t>
            </w:r>
          </w:p>
        </w:tc>
        <w:tc>
          <w:tcPr>
            <w:tcW w:w="2005" w:type="pct"/>
            <w:tcBorders>
              <w:top w:val="single" w:color="auto" w:sz="4" w:space="0"/>
              <w:bottom w:val="single" w:color="auto" w:sz="4" w:space="0"/>
              <w:right w:val="single" w:color="auto" w:sz="4" w:space="0"/>
            </w:tcBorders>
          </w:tcPr>
          <w:p w14:paraId="4D652EA3">
            <w:pPr>
              <w:ind w:firstLine="0" w:firstLineChars="0"/>
              <w:rPr>
                <w:rFonts w:ascii="仿宋_GB2312"/>
              </w:rPr>
            </w:pPr>
            <w:r>
              <w:rPr>
                <w:rStyle w:val="52"/>
                <w:rFonts w:hint="default" w:ascii="仿宋_GB2312" w:eastAsia="仿宋_GB2312" w:cs="Arial"/>
                <w:sz w:val="24"/>
              </w:rPr>
              <w:t>对标准实施情况进行总结分析，不断对地方标准提出修正意见。</w:t>
            </w:r>
          </w:p>
        </w:tc>
      </w:tr>
      <w:tr w14:paraId="436060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73D57944">
            <w:pPr>
              <w:ind w:firstLine="0" w:firstLineChars="0"/>
              <w:jc w:val="center"/>
              <w:rPr>
                <w:rFonts w:ascii="仿宋_GB2312" w:hAnsi="宋体" w:cs="Arial"/>
                <w:color w:val="000000"/>
                <w:sz w:val="24"/>
              </w:rPr>
            </w:pPr>
            <w:r>
              <w:rPr>
                <w:rStyle w:val="52"/>
                <w:rFonts w:hint="default" w:ascii="仿宋_GB2312" w:eastAsia="仿宋_GB2312" w:cs="Arial"/>
                <w:sz w:val="24"/>
              </w:rPr>
              <w:t>韦剑欢</w:t>
            </w:r>
          </w:p>
        </w:tc>
        <w:tc>
          <w:tcPr>
            <w:tcW w:w="773" w:type="pct"/>
            <w:tcBorders>
              <w:top w:val="single" w:color="auto" w:sz="4" w:space="0"/>
              <w:bottom w:val="single" w:color="auto" w:sz="4" w:space="0"/>
            </w:tcBorders>
            <w:vAlign w:val="center"/>
          </w:tcPr>
          <w:p w14:paraId="77803BCE">
            <w:pPr>
              <w:ind w:firstLine="0" w:firstLineChars="0"/>
              <w:jc w:val="center"/>
              <w:rPr>
                <w:rFonts w:ascii="仿宋_GB2312" w:hAnsi="宋体" w:cs="Arial"/>
                <w:color w:val="000000"/>
                <w:sz w:val="24"/>
              </w:rPr>
            </w:pPr>
            <w:r>
              <w:rPr>
                <w:rStyle w:val="52"/>
                <w:rFonts w:hint="default" w:ascii="仿宋_GB2312" w:eastAsia="仿宋_GB2312" w:cs="Arial"/>
                <w:sz w:val="24"/>
              </w:rPr>
              <w:t>总经理</w:t>
            </w:r>
          </w:p>
        </w:tc>
        <w:tc>
          <w:tcPr>
            <w:tcW w:w="1468" w:type="pct"/>
            <w:tcBorders>
              <w:top w:val="single" w:color="auto" w:sz="4" w:space="0"/>
              <w:bottom w:val="single" w:color="auto" w:sz="4" w:space="0"/>
            </w:tcBorders>
            <w:vAlign w:val="center"/>
          </w:tcPr>
          <w:p w14:paraId="5BFFE21E">
            <w:pPr>
              <w:ind w:firstLine="0" w:firstLineChars="0"/>
              <w:jc w:val="center"/>
              <w:rPr>
                <w:rFonts w:ascii="仿宋_GB2312" w:hAnsi="宋体" w:cs="Arial"/>
                <w:color w:val="000000"/>
                <w:sz w:val="24"/>
              </w:rPr>
            </w:pPr>
            <w:r>
              <w:rPr>
                <w:rStyle w:val="52"/>
                <w:rFonts w:hint="default" w:ascii="仿宋_GB2312" w:eastAsia="仿宋_GB2312" w:cs="Arial"/>
                <w:sz w:val="24"/>
              </w:rPr>
              <w:t>广西灵山百菲奶水牛养殖有限公司</w:t>
            </w:r>
          </w:p>
        </w:tc>
        <w:tc>
          <w:tcPr>
            <w:tcW w:w="2005" w:type="pct"/>
            <w:tcBorders>
              <w:top w:val="single" w:color="auto" w:sz="4" w:space="0"/>
              <w:bottom w:val="single" w:color="auto" w:sz="4" w:space="0"/>
              <w:right w:val="single" w:color="auto" w:sz="4" w:space="0"/>
            </w:tcBorders>
            <w:vAlign w:val="center"/>
          </w:tcPr>
          <w:p w14:paraId="70CE738C">
            <w:pPr>
              <w:ind w:firstLine="0" w:firstLineChars="0"/>
              <w:rPr>
                <w:rFonts w:ascii="仿宋_GB2312" w:hAnsi="宋体" w:cs="Arial"/>
                <w:color w:val="000000"/>
                <w:sz w:val="24"/>
              </w:rPr>
            </w:pPr>
            <w:r>
              <w:rPr>
                <w:rStyle w:val="52"/>
                <w:rFonts w:hint="default" w:ascii="仿宋_GB2312" w:eastAsia="仿宋_GB2312" w:cs="Arial"/>
                <w:sz w:val="24"/>
              </w:rPr>
              <w:t>标准发布后的宣贯培训，对标准进行详细解读。</w:t>
            </w:r>
          </w:p>
        </w:tc>
      </w:tr>
      <w:tr w14:paraId="17142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41E97E87">
            <w:pPr>
              <w:ind w:firstLine="0" w:firstLineChars="0"/>
              <w:jc w:val="center"/>
              <w:rPr>
                <w:rFonts w:ascii="仿宋_GB2312" w:hAnsi="宋体" w:cs="Arial"/>
                <w:color w:val="000000"/>
                <w:sz w:val="24"/>
              </w:rPr>
            </w:pPr>
            <w:r>
              <w:rPr>
                <w:rStyle w:val="52"/>
                <w:rFonts w:hint="default" w:ascii="仿宋_GB2312" w:eastAsia="仿宋_GB2312" w:cs="Arial"/>
                <w:sz w:val="24"/>
              </w:rPr>
              <w:t>石爱萍</w:t>
            </w:r>
          </w:p>
        </w:tc>
        <w:tc>
          <w:tcPr>
            <w:tcW w:w="773" w:type="pct"/>
            <w:tcBorders>
              <w:top w:val="single" w:color="auto" w:sz="4" w:space="0"/>
              <w:bottom w:val="single" w:color="auto" w:sz="4" w:space="0"/>
            </w:tcBorders>
            <w:vAlign w:val="center"/>
          </w:tcPr>
          <w:p w14:paraId="0B1DED95">
            <w:pPr>
              <w:ind w:firstLine="0" w:firstLineChars="0"/>
              <w:jc w:val="center"/>
              <w:rPr>
                <w:rFonts w:ascii="仿宋_GB2312" w:hAnsi="宋体" w:cs="Arial"/>
                <w:color w:val="000000"/>
                <w:sz w:val="24"/>
              </w:rPr>
            </w:pPr>
            <w:r>
              <w:rPr>
                <w:rStyle w:val="52"/>
                <w:rFonts w:hint="default" w:ascii="仿宋_GB2312" w:eastAsia="仿宋_GB2312" w:cs="Arial"/>
                <w:sz w:val="24"/>
              </w:rPr>
              <w:t>工程师</w:t>
            </w:r>
          </w:p>
        </w:tc>
        <w:tc>
          <w:tcPr>
            <w:tcW w:w="1468" w:type="pct"/>
            <w:tcBorders>
              <w:top w:val="single" w:color="auto" w:sz="4" w:space="0"/>
              <w:bottom w:val="single" w:color="auto" w:sz="4" w:space="0"/>
            </w:tcBorders>
            <w:vAlign w:val="center"/>
          </w:tcPr>
          <w:p w14:paraId="5D60BCBC">
            <w:pPr>
              <w:ind w:firstLine="0" w:firstLineChars="0"/>
              <w:jc w:val="center"/>
              <w:rPr>
                <w:rFonts w:ascii="仿宋_GB2312" w:hAnsi="宋体" w:cs="Arial"/>
                <w:color w:val="000000"/>
                <w:sz w:val="24"/>
              </w:rPr>
            </w:pPr>
            <w:r>
              <w:rPr>
                <w:rStyle w:val="52"/>
                <w:rFonts w:hint="default" w:ascii="仿宋_GB2312" w:eastAsia="仿宋_GB2312" w:cs="Arial"/>
                <w:sz w:val="24"/>
              </w:rPr>
              <w:t>广西皇氏乳业有限公司</w:t>
            </w:r>
          </w:p>
        </w:tc>
        <w:tc>
          <w:tcPr>
            <w:tcW w:w="2005" w:type="pct"/>
            <w:tcBorders>
              <w:top w:val="single" w:color="auto" w:sz="4" w:space="0"/>
              <w:bottom w:val="single" w:color="auto" w:sz="4" w:space="0"/>
              <w:right w:val="single" w:color="auto" w:sz="4" w:space="0"/>
            </w:tcBorders>
          </w:tcPr>
          <w:p w14:paraId="2E8F3C48">
            <w:pPr>
              <w:ind w:firstLine="0" w:firstLineChars="0"/>
              <w:rPr>
                <w:rFonts w:ascii="仿宋_GB2312"/>
              </w:rPr>
            </w:pPr>
            <w:r>
              <w:rPr>
                <w:rStyle w:val="52"/>
                <w:rFonts w:hint="default" w:ascii="仿宋_GB2312" w:eastAsia="仿宋_GB2312" w:cs="Arial"/>
                <w:sz w:val="24"/>
              </w:rPr>
              <w:t>标准发布后的宣贯培训，对标准进行详细解读。</w:t>
            </w:r>
          </w:p>
        </w:tc>
      </w:tr>
      <w:tr w14:paraId="350A6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1B83F284">
            <w:pPr>
              <w:ind w:firstLine="0" w:firstLineChars="0"/>
              <w:jc w:val="center"/>
              <w:rPr>
                <w:rFonts w:ascii="仿宋_GB2312" w:hAnsi="宋体" w:cs="Arial"/>
                <w:color w:val="000000"/>
                <w:sz w:val="24"/>
              </w:rPr>
            </w:pPr>
            <w:r>
              <w:rPr>
                <w:rStyle w:val="52"/>
                <w:rFonts w:hint="default" w:ascii="仿宋_GB2312" w:eastAsia="仿宋_GB2312" w:cs="Arial"/>
                <w:sz w:val="24"/>
              </w:rPr>
              <w:t>全东群</w:t>
            </w:r>
          </w:p>
        </w:tc>
        <w:tc>
          <w:tcPr>
            <w:tcW w:w="773" w:type="pct"/>
            <w:tcBorders>
              <w:top w:val="single" w:color="auto" w:sz="4" w:space="0"/>
              <w:bottom w:val="single" w:color="auto" w:sz="4" w:space="0"/>
            </w:tcBorders>
            <w:vAlign w:val="center"/>
          </w:tcPr>
          <w:p w14:paraId="6E006EA9">
            <w:pPr>
              <w:ind w:firstLine="0" w:firstLineChars="0"/>
              <w:jc w:val="center"/>
              <w:rPr>
                <w:rFonts w:ascii="仿宋_GB2312" w:hAnsi="宋体" w:cs="Arial"/>
                <w:color w:val="000000"/>
                <w:sz w:val="24"/>
              </w:rPr>
            </w:pPr>
            <w:r>
              <w:rPr>
                <w:rStyle w:val="52"/>
                <w:rFonts w:hint="default" w:ascii="仿宋_GB2312" w:eastAsia="仿宋_GB2312" w:cs="Arial"/>
                <w:sz w:val="24"/>
              </w:rPr>
              <w:t>兽医师</w:t>
            </w:r>
          </w:p>
        </w:tc>
        <w:tc>
          <w:tcPr>
            <w:tcW w:w="1468" w:type="pct"/>
            <w:tcBorders>
              <w:top w:val="single" w:color="auto" w:sz="4" w:space="0"/>
              <w:bottom w:val="single" w:color="auto" w:sz="4" w:space="0"/>
            </w:tcBorders>
            <w:vAlign w:val="center"/>
          </w:tcPr>
          <w:p w14:paraId="164FF5AE">
            <w:pPr>
              <w:ind w:firstLine="0" w:firstLineChars="0"/>
              <w:jc w:val="center"/>
              <w:rPr>
                <w:rFonts w:ascii="仿宋_GB2312" w:hAnsi="宋体" w:cs="Arial"/>
                <w:color w:val="000000"/>
                <w:sz w:val="24"/>
              </w:rPr>
            </w:pPr>
            <w:r>
              <w:rPr>
                <w:rStyle w:val="52"/>
                <w:rFonts w:hint="default" w:ascii="仿宋_GB2312" w:eastAsia="仿宋_GB2312" w:cs="Arial"/>
                <w:sz w:val="24"/>
              </w:rPr>
              <w:t>广西农业工程职业技术学院</w:t>
            </w:r>
          </w:p>
        </w:tc>
        <w:tc>
          <w:tcPr>
            <w:tcW w:w="2005" w:type="pct"/>
            <w:tcBorders>
              <w:top w:val="single" w:color="auto" w:sz="4" w:space="0"/>
              <w:bottom w:val="single" w:color="auto" w:sz="4" w:space="0"/>
              <w:right w:val="single" w:color="auto" w:sz="4" w:space="0"/>
            </w:tcBorders>
          </w:tcPr>
          <w:p w14:paraId="454B8B7A">
            <w:pPr>
              <w:ind w:firstLine="0" w:firstLineChars="0"/>
              <w:rPr>
                <w:rFonts w:ascii="仿宋_GB2312"/>
              </w:rPr>
            </w:pPr>
            <w:r>
              <w:rPr>
                <w:rStyle w:val="52"/>
                <w:rFonts w:hint="default" w:ascii="仿宋_GB2312" w:eastAsia="仿宋_GB2312" w:cs="Arial"/>
                <w:sz w:val="24"/>
              </w:rPr>
              <w:t>标准发布后的宣贯培训，对标准进行详细解读。</w:t>
            </w:r>
          </w:p>
        </w:tc>
      </w:tr>
      <w:tr w14:paraId="7306E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2FC3B4A3">
            <w:pPr>
              <w:ind w:firstLine="0" w:firstLineChars="0"/>
              <w:jc w:val="center"/>
              <w:rPr>
                <w:rFonts w:ascii="仿宋_GB2312" w:hAnsi="宋体" w:cs="Arial"/>
                <w:color w:val="000000"/>
                <w:sz w:val="24"/>
              </w:rPr>
            </w:pPr>
            <w:r>
              <w:rPr>
                <w:rStyle w:val="52"/>
                <w:rFonts w:hint="default" w:ascii="仿宋_GB2312" w:eastAsia="仿宋_GB2312" w:cs="Arial"/>
                <w:sz w:val="24"/>
              </w:rPr>
              <w:t>梁昌椿</w:t>
            </w:r>
          </w:p>
        </w:tc>
        <w:tc>
          <w:tcPr>
            <w:tcW w:w="773" w:type="pct"/>
            <w:tcBorders>
              <w:top w:val="single" w:color="auto" w:sz="4" w:space="0"/>
              <w:bottom w:val="single" w:color="auto" w:sz="4" w:space="0"/>
            </w:tcBorders>
            <w:vAlign w:val="center"/>
          </w:tcPr>
          <w:p w14:paraId="4AD85765">
            <w:pPr>
              <w:ind w:firstLine="0" w:firstLineChars="0"/>
              <w:jc w:val="center"/>
              <w:rPr>
                <w:rFonts w:ascii="仿宋_GB2312" w:hAnsi="宋体" w:cs="Arial"/>
                <w:color w:val="000000"/>
                <w:sz w:val="24"/>
              </w:rPr>
            </w:pPr>
            <w:r>
              <w:rPr>
                <w:rStyle w:val="52"/>
                <w:rFonts w:hint="default" w:ascii="仿宋_GB2312" w:eastAsia="仿宋_GB2312" w:cs="Arial"/>
                <w:sz w:val="24"/>
              </w:rPr>
              <w:t>兽医师</w:t>
            </w:r>
          </w:p>
        </w:tc>
        <w:tc>
          <w:tcPr>
            <w:tcW w:w="1468" w:type="pct"/>
            <w:tcBorders>
              <w:top w:val="single" w:color="auto" w:sz="4" w:space="0"/>
              <w:bottom w:val="single" w:color="auto" w:sz="4" w:space="0"/>
            </w:tcBorders>
            <w:vAlign w:val="center"/>
          </w:tcPr>
          <w:p w14:paraId="492C7E35">
            <w:pPr>
              <w:ind w:firstLine="0" w:firstLineChars="0"/>
              <w:jc w:val="center"/>
              <w:rPr>
                <w:rFonts w:ascii="仿宋_GB2312" w:hAnsi="宋体" w:cs="Arial"/>
                <w:color w:val="000000"/>
                <w:sz w:val="24"/>
              </w:rPr>
            </w:pPr>
            <w:r>
              <w:rPr>
                <w:rStyle w:val="52"/>
                <w:rFonts w:hint="default" w:ascii="仿宋_GB2312" w:eastAsia="仿宋_GB2312" w:cs="Arial"/>
                <w:sz w:val="24"/>
              </w:rPr>
              <w:t>灵山县农业农村局</w:t>
            </w:r>
          </w:p>
        </w:tc>
        <w:tc>
          <w:tcPr>
            <w:tcW w:w="2005" w:type="pct"/>
            <w:tcBorders>
              <w:top w:val="single" w:color="auto" w:sz="4" w:space="0"/>
              <w:bottom w:val="single" w:color="auto" w:sz="4" w:space="0"/>
              <w:right w:val="single" w:color="auto" w:sz="4" w:space="0"/>
            </w:tcBorders>
          </w:tcPr>
          <w:p w14:paraId="268A6BAB">
            <w:pPr>
              <w:ind w:firstLine="0" w:firstLineChars="0"/>
              <w:rPr>
                <w:rFonts w:ascii="仿宋_GB2312"/>
              </w:rPr>
            </w:pPr>
            <w:r>
              <w:rPr>
                <w:rStyle w:val="52"/>
                <w:rFonts w:hint="default" w:ascii="仿宋_GB2312" w:eastAsia="仿宋_GB2312" w:cs="Arial"/>
                <w:sz w:val="24"/>
              </w:rPr>
              <w:t>标准发布后的宣贯培训，对标准进行详细解读。</w:t>
            </w:r>
          </w:p>
        </w:tc>
      </w:tr>
      <w:tr w14:paraId="287BA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4665A983">
            <w:pPr>
              <w:ind w:firstLine="0" w:firstLineChars="0"/>
              <w:jc w:val="center"/>
              <w:rPr>
                <w:rFonts w:ascii="仿宋_GB2312" w:hAnsi="宋体" w:cs="Arial"/>
                <w:color w:val="000000"/>
                <w:sz w:val="24"/>
              </w:rPr>
            </w:pPr>
            <w:r>
              <w:rPr>
                <w:rStyle w:val="52"/>
                <w:rFonts w:hint="default" w:ascii="仿宋_GB2312" w:eastAsia="仿宋_GB2312" w:cs="Arial"/>
                <w:sz w:val="24"/>
              </w:rPr>
              <w:t>孙守章</w:t>
            </w:r>
          </w:p>
        </w:tc>
        <w:tc>
          <w:tcPr>
            <w:tcW w:w="773" w:type="pct"/>
            <w:tcBorders>
              <w:top w:val="single" w:color="auto" w:sz="4" w:space="0"/>
              <w:bottom w:val="single" w:color="auto" w:sz="4" w:space="0"/>
            </w:tcBorders>
            <w:vAlign w:val="center"/>
          </w:tcPr>
          <w:p w14:paraId="35218C2E">
            <w:pPr>
              <w:ind w:firstLine="0" w:firstLineChars="0"/>
              <w:jc w:val="center"/>
              <w:rPr>
                <w:rFonts w:ascii="仿宋_GB2312" w:hAnsi="宋体" w:cs="Arial"/>
                <w:color w:val="000000"/>
                <w:sz w:val="24"/>
              </w:rPr>
            </w:pPr>
            <w:r>
              <w:rPr>
                <w:rStyle w:val="52"/>
                <w:rFonts w:hint="default" w:ascii="仿宋_GB2312" w:eastAsia="仿宋_GB2312" w:cs="Arial"/>
                <w:sz w:val="24"/>
              </w:rPr>
              <w:t>畜牧师</w:t>
            </w:r>
          </w:p>
        </w:tc>
        <w:tc>
          <w:tcPr>
            <w:tcW w:w="1468" w:type="pct"/>
            <w:tcBorders>
              <w:top w:val="single" w:color="auto" w:sz="4" w:space="0"/>
              <w:bottom w:val="single" w:color="auto" w:sz="4" w:space="0"/>
            </w:tcBorders>
            <w:vAlign w:val="center"/>
          </w:tcPr>
          <w:p w14:paraId="5ADF3E69">
            <w:pPr>
              <w:ind w:firstLine="0" w:firstLineChars="0"/>
              <w:jc w:val="center"/>
              <w:rPr>
                <w:rFonts w:ascii="仿宋_GB2312" w:hAnsi="宋体" w:cs="Arial"/>
                <w:color w:val="000000"/>
                <w:sz w:val="24"/>
              </w:rPr>
            </w:pPr>
            <w:r>
              <w:rPr>
                <w:rStyle w:val="52"/>
                <w:rFonts w:hint="default" w:ascii="仿宋_GB2312" w:eastAsia="仿宋_GB2312" w:cs="Arial"/>
                <w:sz w:val="24"/>
              </w:rPr>
              <w:t>广西壮族自治区畜禽品种改良站</w:t>
            </w:r>
          </w:p>
        </w:tc>
        <w:tc>
          <w:tcPr>
            <w:tcW w:w="2005" w:type="pct"/>
            <w:tcBorders>
              <w:top w:val="single" w:color="auto" w:sz="4" w:space="0"/>
              <w:bottom w:val="single" w:color="auto" w:sz="4" w:space="0"/>
              <w:right w:val="single" w:color="auto" w:sz="4" w:space="0"/>
            </w:tcBorders>
          </w:tcPr>
          <w:p w14:paraId="7CB83152">
            <w:pPr>
              <w:ind w:firstLine="0" w:firstLineChars="0"/>
              <w:rPr>
                <w:rFonts w:ascii="仿宋_GB2312"/>
              </w:rPr>
            </w:pPr>
            <w:r>
              <w:rPr>
                <w:rStyle w:val="52"/>
                <w:rFonts w:hint="default" w:ascii="仿宋_GB2312" w:eastAsia="仿宋_GB2312" w:cs="Arial"/>
                <w:sz w:val="24"/>
              </w:rPr>
              <w:t>标准发布后的宣贯培训，对标准进行详细解读。</w:t>
            </w:r>
          </w:p>
        </w:tc>
      </w:tr>
      <w:tr w14:paraId="0E591A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60FCB903">
            <w:pPr>
              <w:ind w:firstLine="0" w:firstLineChars="0"/>
              <w:jc w:val="center"/>
              <w:rPr>
                <w:rFonts w:ascii="仿宋_GB2312" w:hAnsi="宋体" w:cs="Arial"/>
                <w:color w:val="000000"/>
                <w:sz w:val="24"/>
              </w:rPr>
            </w:pPr>
            <w:r>
              <w:rPr>
                <w:rStyle w:val="52"/>
                <w:rFonts w:hint="default" w:ascii="仿宋_GB2312" w:eastAsia="仿宋_GB2312" w:cs="Arial"/>
                <w:sz w:val="24"/>
              </w:rPr>
              <w:t>罗弘萍</w:t>
            </w:r>
          </w:p>
        </w:tc>
        <w:tc>
          <w:tcPr>
            <w:tcW w:w="773" w:type="pct"/>
            <w:tcBorders>
              <w:top w:val="single" w:color="auto" w:sz="4" w:space="0"/>
              <w:bottom w:val="single" w:color="auto" w:sz="4" w:space="0"/>
            </w:tcBorders>
            <w:vAlign w:val="center"/>
          </w:tcPr>
          <w:p w14:paraId="681F6F0F">
            <w:pPr>
              <w:ind w:firstLine="0" w:firstLineChars="0"/>
              <w:jc w:val="center"/>
              <w:rPr>
                <w:rFonts w:ascii="仿宋_GB2312" w:hAnsi="宋体" w:cs="Arial"/>
                <w:color w:val="000000"/>
                <w:sz w:val="24"/>
              </w:rPr>
            </w:pPr>
            <w:r>
              <w:rPr>
                <w:rStyle w:val="52"/>
                <w:rFonts w:hint="default" w:ascii="仿宋_GB2312" w:eastAsia="仿宋_GB2312" w:cs="Arial"/>
                <w:sz w:val="24"/>
              </w:rPr>
              <w:t>农技师</w:t>
            </w:r>
          </w:p>
        </w:tc>
        <w:tc>
          <w:tcPr>
            <w:tcW w:w="1468" w:type="pct"/>
            <w:tcBorders>
              <w:top w:val="single" w:color="auto" w:sz="4" w:space="0"/>
              <w:bottom w:val="single" w:color="auto" w:sz="4" w:space="0"/>
            </w:tcBorders>
            <w:vAlign w:val="center"/>
          </w:tcPr>
          <w:p w14:paraId="3EBF2D9D">
            <w:pPr>
              <w:ind w:firstLine="0" w:firstLineChars="0"/>
              <w:jc w:val="center"/>
              <w:rPr>
                <w:rFonts w:ascii="仿宋_GB2312" w:hAnsi="宋体" w:cs="Arial"/>
                <w:color w:val="000000"/>
                <w:sz w:val="24"/>
              </w:rPr>
            </w:pPr>
            <w:r>
              <w:rPr>
                <w:rStyle w:val="52"/>
                <w:rFonts w:hint="default" w:ascii="仿宋_GB2312" w:eastAsia="仿宋_GB2312" w:cs="Arial"/>
                <w:sz w:val="24"/>
              </w:rPr>
              <w:t>灵山县农业农村局</w:t>
            </w:r>
          </w:p>
        </w:tc>
        <w:tc>
          <w:tcPr>
            <w:tcW w:w="2005" w:type="pct"/>
            <w:tcBorders>
              <w:top w:val="single" w:color="auto" w:sz="4" w:space="0"/>
              <w:bottom w:val="single" w:color="auto" w:sz="4" w:space="0"/>
              <w:right w:val="single" w:color="auto" w:sz="4" w:space="0"/>
            </w:tcBorders>
          </w:tcPr>
          <w:p w14:paraId="5325BAC1">
            <w:pPr>
              <w:ind w:firstLine="0" w:firstLineChars="0"/>
              <w:rPr>
                <w:rFonts w:ascii="仿宋_GB2312"/>
              </w:rPr>
            </w:pPr>
            <w:r>
              <w:rPr>
                <w:rStyle w:val="52"/>
                <w:rFonts w:hint="default" w:ascii="仿宋_GB2312" w:eastAsia="仿宋_GB2312" w:cs="Arial"/>
                <w:sz w:val="24"/>
              </w:rPr>
              <w:t>标准发布后的宣贯培训，对标准进行详细解读。</w:t>
            </w:r>
          </w:p>
        </w:tc>
      </w:tr>
      <w:tr w14:paraId="78E282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223F6E72">
            <w:pPr>
              <w:ind w:firstLine="0" w:firstLineChars="0"/>
              <w:jc w:val="center"/>
              <w:rPr>
                <w:rFonts w:ascii="仿宋_GB2312" w:hAnsi="宋体" w:cs="Arial"/>
                <w:color w:val="000000"/>
                <w:sz w:val="24"/>
              </w:rPr>
            </w:pPr>
            <w:r>
              <w:rPr>
                <w:rStyle w:val="52"/>
                <w:rFonts w:hint="default" w:ascii="仿宋_GB2312" w:eastAsia="仿宋_GB2312" w:cs="Arial"/>
                <w:sz w:val="24"/>
              </w:rPr>
              <w:t>廖定贤</w:t>
            </w:r>
          </w:p>
        </w:tc>
        <w:tc>
          <w:tcPr>
            <w:tcW w:w="773" w:type="pct"/>
            <w:tcBorders>
              <w:top w:val="single" w:color="auto" w:sz="4" w:space="0"/>
              <w:bottom w:val="single" w:color="auto" w:sz="4" w:space="0"/>
            </w:tcBorders>
            <w:vAlign w:val="center"/>
          </w:tcPr>
          <w:p w14:paraId="54817E32">
            <w:pPr>
              <w:ind w:firstLine="0" w:firstLineChars="0"/>
              <w:jc w:val="center"/>
              <w:rPr>
                <w:rFonts w:ascii="仿宋_GB2312" w:hAnsi="宋体" w:cs="Arial"/>
                <w:color w:val="000000"/>
                <w:sz w:val="24"/>
              </w:rPr>
            </w:pPr>
            <w:r>
              <w:rPr>
                <w:rStyle w:val="52"/>
                <w:rFonts w:hint="default" w:ascii="仿宋_GB2312" w:eastAsia="仿宋_GB2312" w:cs="Arial"/>
                <w:sz w:val="24"/>
              </w:rPr>
              <w:t>经理</w:t>
            </w:r>
          </w:p>
        </w:tc>
        <w:tc>
          <w:tcPr>
            <w:tcW w:w="1468" w:type="pct"/>
            <w:tcBorders>
              <w:top w:val="single" w:color="auto" w:sz="4" w:space="0"/>
              <w:bottom w:val="single" w:color="auto" w:sz="4" w:space="0"/>
            </w:tcBorders>
            <w:vAlign w:val="center"/>
          </w:tcPr>
          <w:p w14:paraId="4951F821">
            <w:pPr>
              <w:ind w:firstLine="0" w:firstLineChars="0"/>
              <w:jc w:val="center"/>
              <w:rPr>
                <w:rFonts w:ascii="仿宋_GB2312" w:hAnsi="宋体" w:cs="Arial"/>
                <w:color w:val="000000"/>
                <w:sz w:val="24"/>
              </w:rPr>
            </w:pPr>
            <w:r>
              <w:rPr>
                <w:rStyle w:val="52"/>
                <w:rFonts w:hint="default" w:ascii="仿宋_GB2312" w:eastAsia="仿宋_GB2312" w:cs="Arial"/>
                <w:sz w:val="24"/>
              </w:rPr>
              <w:t>广西灵山百菲奶水牛养殖有限公司</w:t>
            </w:r>
          </w:p>
        </w:tc>
        <w:tc>
          <w:tcPr>
            <w:tcW w:w="2005" w:type="pct"/>
            <w:tcBorders>
              <w:top w:val="single" w:color="auto" w:sz="4" w:space="0"/>
              <w:bottom w:val="single" w:color="auto" w:sz="4" w:space="0"/>
              <w:right w:val="single" w:color="auto" w:sz="4" w:space="0"/>
            </w:tcBorders>
          </w:tcPr>
          <w:p w14:paraId="352E33DD">
            <w:pPr>
              <w:ind w:firstLine="0" w:firstLineChars="0"/>
              <w:rPr>
                <w:rFonts w:ascii="仿宋_GB2312"/>
              </w:rPr>
            </w:pPr>
            <w:r>
              <w:rPr>
                <w:rStyle w:val="52"/>
                <w:rFonts w:hint="default" w:ascii="仿宋_GB2312" w:eastAsia="仿宋_GB2312" w:cs="Arial"/>
                <w:sz w:val="24"/>
              </w:rPr>
              <w:t>标准发布后的宣贯培训，对标准进行详细解读。</w:t>
            </w:r>
          </w:p>
        </w:tc>
      </w:tr>
      <w:tr w14:paraId="1CA2A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4" w:type="pct"/>
            <w:tcBorders>
              <w:top w:val="single" w:color="auto" w:sz="4" w:space="0"/>
              <w:left w:val="single" w:color="auto" w:sz="4" w:space="0"/>
              <w:bottom w:val="single" w:color="auto" w:sz="4" w:space="0"/>
            </w:tcBorders>
            <w:vAlign w:val="center"/>
          </w:tcPr>
          <w:p w14:paraId="04E32667">
            <w:pPr>
              <w:ind w:firstLine="0" w:firstLineChars="0"/>
              <w:jc w:val="center"/>
              <w:rPr>
                <w:rFonts w:ascii="仿宋_GB2312" w:hAnsi="宋体" w:cs="Arial"/>
                <w:color w:val="000000"/>
                <w:sz w:val="24"/>
              </w:rPr>
            </w:pPr>
            <w:r>
              <w:rPr>
                <w:rStyle w:val="52"/>
                <w:rFonts w:hint="default" w:ascii="仿宋_GB2312" w:eastAsia="仿宋_GB2312" w:cs="Arial"/>
                <w:sz w:val="24"/>
              </w:rPr>
              <w:t>陈明昌</w:t>
            </w:r>
          </w:p>
        </w:tc>
        <w:tc>
          <w:tcPr>
            <w:tcW w:w="773" w:type="pct"/>
            <w:tcBorders>
              <w:top w:val="single" w:color="auto" w:sz="4" w:space="0"/>
              <w:bottom w:val="single" w:color="auto" w:sz="4" w:space="0"/>
            </w:tcBorders>
          </w:tcPr>
          <w:p w14:paraId="57859226">
            <w:pPr>
              <w:ind w:firstLine="0" w:firstLineChars="0"/>
              <w:jc w:val="center"/>
              <w:rPr>
                <w:rFonts w:ascii="仿宋_GB2312" w:hAnsi="宋体" w:cs="Arial"/>
                <w:color w:val="000000"/>
                <w:sz w:val="24"/>
              </w:rPr>
            </w:pPr>
            <w:r>
              <w:rPr>
                <w:rStyle w:val="52"/>
                <w:rFonts w:hint="default" w:ascii="仿宋_GB2312" w:eastAsia="仿宋_GB2312" w:cs="Arial"/>
                <w:sz w:val="24"/>
              </w:rPr>
              <w:t>水产工程师</w:t>
            </w:r>
          </w:p>
        </w:tc>
        <w:tc>
          <w:tcPr>
            <w:tcW w:w="1468" w:type="pct"/>
            <w:tcBorders>
              <w:top w:val="single" w:color="auto" w:sz="4" w:space="0"/>
              <w:bottom w:val="single" w:color="auto" w:sz="4" w:space="0"/>
            </w:tcBorders>
            <w:vAlign w:val="center"/>
          </w:tcPr>
          <w:p w14:paraId="633009FC">
            <w:pPr>
              <w:ind w:firstLine="0" w:firstLineChars="0"/>
              <w:jc w:val="center"/>
              <w:rPr>
                <w:rFonts w:ascii="仿宋_GB2312" w:hAnsi="宋体" w:cs="Arial"/>
                <w:color w:val="000000"/>
                <w:sz w:val="24"/>
              </w:rPr>
            </w:pPr>
            <w:r>
              <w:rPr>
                <w:rStyle w:val="52"/>
                <w:rFonts w:hint="default" w:ascii="仿宋_GB2312" w:eastAsia="仿宋_GB2312" w:cs="Arial"/>
                <w:sz w:val="24"/>
              </w:rPr>
              <w:t>灵山县农业农村局</w:t>
            </w:r>
          </w:p>
        </w:tc>
        <w:tc>
          <w:tcPr>
            <w:tcW w:w="2005" w:type="pct"/>
            <w:tcBorders>
              <w:top w:val="single" w:color="auto" w:sz="4" w:space="0"/>
              <w:bottom w:val="single" w:color="auto" w:sz="4" w:space="0"/>
              <w:right w:val="single" w:color="auto" w:sz="4" w:space="0"/>
            </w:tcBorders>
          </w:tcPr>
          <w:p w14:paraId="7E5B0EAF">
            <w:pPr>
              <w:ind w:firstLine="0" w:firstLineChars="0"/>
              <w:rPr>
                <w:rFonts w:ascii="仿宋_GB2312"/>
              </w:rPr>
            </w:pPr>
            <w:r>
              <w:rPr>
                <w:rStyle w:val="52"/>
                <w:rFonts w:hint="default" w:ascii="仿宋_GB2312" w:eastAsia="仿宋_GB2312" w:cs="Arial"/>
                <w:sz w:val="24"/>
              </w:rPr>
              <w:t>标准发布后的宣贯培训，对标准进行详细解读。</w:t>
            </w:r>
          </w:p>
        </w:tc>
      </w:tr>
    </w:tbl>
    <w:p w14:paraId="75FCC36C">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2190EEC3">
      <w:pPr>
        <w:autoSpaceDE w:val="0"/>
        <w:autoSpaceDN w:val="0"/>
        <w:adjustRightInd w:val="0"/>
        <w:spacing w:line="560" w:lineRule="exact"/>
        <w:ind w:firstLine="640"/>
        <w:rPr>
          <w:rFonts w:ascii="仿宋_GB2312" w:hAnsi="宋体"/>
          <w:szCs w:val="28"/>
        </w:rPr>
      </w:pPr>
      <w:r>
        <w:rPr>
          <w:rFonts w:hint="eastAsia" w:ascii="仿宋_GB2312" w:hAnsi="宋体"/>
          <w:szCs w:val="28"/>
        </w:rPr>
        <w:t>奶水牛生产性能测定是指基于科学方法，对泌乳期奶水牛的生产相关核心指标进行系统监测、检测与数据分析的技术过程，核心涵盖日产乳量、乳脂肪、乳蛋白、乳糖、体细胞数、尿素氮等关键指标，同时关联牛只系谱、产犊日期、泌乳天数等养殖管理信息，形成完整的牛群生产性能评估体系。与荷斯坦牛等奶牛不同，奶水牛属于水牛属，生理特性与代谢规律存在显著差异，其生产性能测定需适配自身品种特点，而非简单套用奶牛测定标准。</w:t>
      </w:r>
    </w:p>
    <w:p w14:paraId="150E78E1">
      <w:pPr>
        <w:autoSpaceDE w:val="0"/>
        <w:autoSpaceDN w:val="0"/>
        <w:adjustRightInd w:val="0"/>
        <w:spacing w:line="560" w:lineRule="exact"/>
        <w:ind w:firstLine="640"/>
        <w:rPr>
          <w:rFonts w:ascii="仿宋_GB2312" w:hAnsi="宋体"/>
          <w:szCs w:val="28"/>
        </w:rPr>
      </w:pPr>
      <w:r>
        <w:rPr>
          <w:rFonts w:hint="eastAsia" w:ascii="仿宋_GB2312" w:hAnsi="宋体"/>
          <w:szCs w:val="28"/>
        </w:rPr>
        <w:t>开展奶水牛生产性能测定是产业高质量发展的核心支撑，其意义贯穿品种改良、养殖提质、市场升级全链条。从品种选育来看，当前我国奶水牛种源依赖早期引进品种的后代，近交系数逐年上升，存在群体退化风险，单产仅1000～1400kg，远低于国际2.1吨的先进水平，而精准的性能测定数据是遗传评估、选种选配的核心依据，能为培育高产良种提供科学支撑，破解种源匮乏难题。从养殖实践来看，通过定期测定可实时监控牛群健康状况，比如体细胞数指标能早期预警隐性乳房炎，尿素氮数据可优化日粮营养配比，进而降低疫病发生率与养殖成本，提升养殖场经济效益。从产业升级来看，水牛奶作为特色奶品类，市场需求持续增长，广西全产业链产值已接近200亿元，但产品质量稳定性依赖统一的生产性能基准，测定数据能为生鲜乳收购、产品分级提供量化依据，助力产业从“规模扩张”向“质量提升”转型。</w:t>
      </w:r>
    </w:p>
    <w:p w14:paraId="298D6A3A">
      <w:pPr>
        <w:autoSpaceDE w:val="0"/>
        <w:autoSpaceDN w:val="0"/>
        <w:adjustRightInd w:val="0"/>
        <w:spacing w:line="560" w:lineRule="exact"/>
        <w:ind w:firstLine="640"/>
        <w:rPr>
          <w:rFonts w:ascii="仿宋_GB2312" w:hAnsi="宋体"/>
          <w:szCs w:val="28"/>
        </w:rPr>
      </w:pPr>
      <w:r>
        <w:rPr>
          <w:rFonts w:hint="eastAsia" w:ascii="仿宋_GB2312" w:hAnsi="宋体"/>
          <w:szCs w:val="28"/>
        </w:rPr>
        <w:t>当前奶水牛生产性能测定已形成初步技术路径，但缺乏统一规范导致实施效果受限。测定方法主要参照奶牛DHI（奶牛群改良）体系，核心包括现场采样、实验室检测、数据处理三大环节：采样需遵循“定期间隔（25～35天）、全程无菌、规范保存（2～7℃冷藏，72小时内送检）”原则，配套机械挤奶设备与计量装置；实验室检测采用红外光谱法测定乳成分、NY/T 800标准测定体细胞数、ISO14637标准测定尿素氮；数据处理需整合养殖信息生成综合分析报告，为饲养管理提供预警建议。但实践中，不同养殖主体的测定方法差异较大，部分中小牧场缺乏专业采样设备，体尺等关键指标未纳入测定范围，数据记录存在编号不统一、系谱信息不全等问题，导致测定数据缺乏可比性与实用性。</w:t>
      </w:r>
    </w:p>
    <w:p w14:paraId="79630EFC">
      <w:pPr>
        <w:autoSpaceDE w:val="0"/>
        <w:autoSpaceDN w:val="0"/>
        <w:adjustRightInd w:val="0"/>
        <w:spacing w:line="560" w:lineRule="exact"/>
        <w:ind w:firstLine="640"/>
        <w:rPr>
          <w:rFonts w:ascii="仿宋_GB2312" w:hAnsi="宋体"/>
          <w:szCs w:val="28"/>
        </w:rPr>
      </w:pPr>
      <w:r>
        <w:rPr>
          <w:rFonts w:hint="eastAsia" w:ascii="仿宋_GB2312" w:hAnsi="宋体"/>
          <w:szCs w:val="28"/>
        </w:rPr>
        <w:t>我国奶水牛产业虽已形成区域优势，但生产性能测定的不规范已成为产业升级的主要瓶颈。从产业基础来看，广西作为主产区，奶水牛存栏5.11万头、产奶量3.03万吨，均居全国首位，培育了皇氏、百菲等一批龙头企业，但规模化养殖比例不足40%，多数中小牧场仍依赖经验养殖，未开展系统的生产性能测定。从现存问题来看，除了测定方法不统一，还存在测定覆盖面窄、数据利用率低等突出问题：部分地区仅针对少数规模牧场开展测定，广大散户未纳入监测范围；测定数据多停留在基础记录层面，未与品种选育、营养优化、疫病防控等深度结合，未能充分发挥数据价值。这些问题导致产业陷入“良种培育慢、单产提升难、质量不稳定”的恶性循环，亟需通过统一标准规范测定流程、统一指标体系、统一数据管理，填补奶水牛生产性能测定领域的标准空白，为产业高质量发展提供技术支撑。</w:t>
      </w:r>
    </w:p>
    <w:p w14:paraId="3B8F9FBB">
      <w:pPr>
        <w:autoSpaceDE w:val="0"/>
        <w:autoSpaceDN w:val="0"/>
        <w:adjustRightInd w:val="0"/>
        <w:spacing w:line="560" w:lineRule="exact"/>
        <w:ind w:firstLine="640"/>
        <w:rPr>
          <w:rFonts w:ascii="仿宋_GB2312" w:hAnsi="宋体"/>
          <w:szCs w:val="28"/>
        </w:rPr>
      </w:pPr>
      <w:r>
        <w:rPr>
          <w:rFonts w:hint="eastAsia" w:ascii="仿宋_GB2312" w:hAnsi="宋体"/>
          <w:szCs w:val="28"/>
        </w:rPr>
        <w:t>因此，通过制定团体标准《奶水牛生产性能测定管理规范》，以标准为抓手，统一规范奶水牛生产性能测定管理流程，对规范奶水牛生产性能管理，促进奶水牛产业高质量发展具有重要意义。</w:t>
      </w:r>
    </w:p>
    <w:p w14:paraId="2DFA9462">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三、主要起草过程</w:t>
      </w:r>
    </w:p>
    <w:p w14:paraId="636BEC6F">
      <w:pPr>
        <w:spacing w:line="560" w:lineRule="exact"/>
        <w:ind w:firstLine="643"/>
        <w:rPr>
          <w:rFonts w:ascii="楷体" w:hAnsi="楷体" w:eastAsia="楷体"/>
          <w:szCs w:val="28"/>
        </w:rPr>
      </w:pPr>
      <w:r>
        <w:rPr>
          <w:rFonts w:hint="eastAsia" w:ascii="楷体" w:hAnsi="楷体" w:eastAsia="楷体" w:cs="仿宋_GB2312"/>
          <w:b/>
          <w:szCs w:val="28"/>
        </w:rPr>
        <w:t>（一）成立标准编制工作组</w:t>
      </w:r>
    </w:p>
    <w:p w14:paraId="7BB77DB9">
      <w:pPr>
        <w:ind w:firstLine="640"/>
        <w:rPr>
          <w:rFonts w:ascii="仿宋_GB2312" w:hAnsi="宋体"/>
          <w:szCs w:val="28"/>
        </w:rPr>
      </w:pPr>
      <w:r>
        <w:rPr>
          <w:rFonts w:hint="eastAsia" w:ascii="仿宋_GB2312" w:hAnsi="宋体"/>
          <w:szCs w:val="28"/>
        </w:rPr>
        <w:t>团体标准《奶水牛生产性能测定管理规范》项目任务下达后，广西壮族自治区水牛研究所成立了标准编制工作组，起草单位制定了起草编写方案与进度安排，明确任务职责，确定工作技术路线，开展标准研制工作。具体标准编制工作由广西壮族自治区水牛研究所、广西农业工程职业技术学院、广西大学、灵山县农业农村局、广西壮族自治区畜禽品种改良站、灵山县畜牧技术服务站、广西灵山百菲奶水牛养殖有限公司、广西皇氏乳业有限公司、中国农业科学院北京畜牧兽医研究所等单位负责人组成的标准编制工作组完成。</w:t>
      </w:r>
    </w:p>
    <w:p w14:paraId="7941E1C0">
      <w:pPr>
        <w:ind w:firstLine="640"/>
        <w:rPr>
          <w:rFonts w:ascii="仿宋_GB2312" w:hAnsi="宋体"/>
          <w:szCs w:val="28"/>
        </w:rPr>
      </w:pPr>
      <w:r>
        <w:rPr>
          <w:rFonts w:hint="eastAsia" w:ascii="仿宋_GB2312" w:hAnsi="宋体"/>
          <w:szCs w:val="28"/>
        </w:rPr>
        <w:t>编制工作组下设三个组，分别是资料收集组、草案编写组、标准实施组。</w:t>
      </w:r>
    </w:p>
    <w:p w14:paraId="4E084F61">
      <w:pPr>
        <w:ind w:firstLine="640"/>
        <w:rPr>
          <w:rFonts w:ascii="仿宋_GB2312" w:hAnsi="宋体"/>
          <w:szCs w:val="28"/>
        </w:rPr>
      </w:pPr>
      <w:r>
        <w:rPr>
          <w:rFonts w:hint="eastAsia" w:ascii="仿宋_GB2312" w:hAnsi="宋体"/>
          <w:szCs w:val="28"/>
        </w:rPr>
        <w:t>资料收集组负责国内外有关奶水牛生产性能测定管理的文献资料的查询、收集和整理工作，查阅前人对奶水牛生产性能测定管理的研究情况。</w:t>
      </w:r>
    </w:p>
    <w:p w14:paraId="75DACFA5">
      <w:pPr>
        <w:ind w:firstLine="640"/>
        <w:rPr>
          <w:rFonts w:ascii="仿宋_GB2312" w:hAnsi="宋体"/>
          <w:szCs w:val="28"/>
        </w:rPr>
      </w:pPr>
      <w:r>
        <w:rPr>
          <w:rFonts w:hint="eastAsia" w:ascii="仿宋_GB2312" w:hAnsi="宋体"/>
          <w:szCs w:val="28"/>
        </w:rPr>
        <w:t>草案编写组负责起草标准草案、征求意见稿和标准编制说明、送审稿及编制说明的编写工作，包括后期召开征求意见会、网上征求意见，以及标准的不断修改和完善。</w:t>
      </w:r>
    </w:p>
    <w:p w14:paraId="5548FF49">
      <w:pPr>
        <w:ind w:firstLine="640"/>
        <w:rPr>
          <w:rFonts w:ascii="仿宋_GB2312" w:hAnsi="宋体"/>
          <w:szCs w:val="28"/>
        </w:rPr>
      </w:pPr>
      <w:r>
        <w:rPr>
          <w:rFonts w:hint="eastAsia" w:ascii="仿宋_GB2312" w:hAnsi="宋体"/>
          <w:szCs w:val="28"/>
        </w:rPr>
        <w:t>标准实施组负责团体标准《奶水牛生产性能测定管理规范》发布后，组织相关单位开展标准宣贯培训会，对标准进行详细解读，让相关人员了解标准，并根据标准对奶水牛生产性能测定管理进行规范化操作，并对标准实施情况进行总结分析，不断对团体标准提出修正意见。</w:t>
      </w:r>
    </w:p>
    <w:p w14:paraId="62DB80E8">
      <w:pPr>
        <w:spacing w:line="560" w:lineRule="exact"/>
        <w:ind w:firstLine="643"/>
        <w:rPr>
          <w:rFonts w:ascii="楷体" w:hAnsi="楷体" w:eastAsia="楷体" w:cs="仿宋_GB2312"/>
          <w:b/>
          <w:szCs w:val="28"/>
        </w:rPr>
      </w:pPr>
      <w:r>
        <w:rPr>
          <w:rFonts w:hint="eastAsia" w:ascii="楷体" w:hAnsi="楷体" w:eastAsia="楷体" w:cs="仿宋_GB2312"/>
          <w:b/>
          <w:szCs w:val="28"/>
        </w:rPr>
        <w:t>（二）收集整理文献资料</w:t>
      </w:r>
    </w:p>
    <w:p w14:paraId="52EB53AB">
      <w:pPr>
        <w:ind w:firstLine="640"/>
        <w:rPr>
          <w:rFonts w:ascii="仿宋_GB2312" w:hAnsi="宋体"/>
          <w:szCs w:val="28"/>
          <w:lang w:val="fr-FR"/>
        </w:rPr>
      </w:pPr>
      <w:r>
        <w:rPr>
          <w:rFonts w:hint="eastAsia" w:ascii="仿宋_GB2312" w:hAnsi="宋体"/>
          <w:szCs w:val="28"/>
        </w:rPr>
        <w:t>标准编制工作组收集了国内奶水牛生产性能管理的相关资料。主要有</w:t>
      </w:r>
      <w:r>
        <w:rPr>
          <w:rFonts w:hint="eastAsia" w:ascii="仿宋_GB2312" w:hAnsi="宋体"/>
          <w:szCs w:val="28"/>
          <w:lang w:val="fr-FR"/>
        </w:rPr>
        <w:t>：</w:t>
      </w:r>
    </w:p>
    <w:p w14:paraId="64612F05">
      <w:pPr>
        <w:ind w:firstLine="640"/>
        <w:rPr>
          <w:rFonts w:ascii="仿宋_GB2312" w:hAnsi="宋体"/>
          <w:szCs w:val="28"/>
          <w:lang w:val="fr-FR"/>
        </w:rPr>
      </w:pPr>
      <w:r>
        <w:rPr>
          <w:rFonts w:hint="eastAsia" w:ascii="仿宋_GB2312" w:hAnsi="宋体"/>
          <w:szCs w:val="28"/>
          <w:lang w:val="fr-FR"/>
        </w:rPr>
        <w:t>1、相关标准</w:t>
      </w:r>
    </w:p>
    <w:p w14:paraId="4E0DC265">
      <w:pPr>
        <w:ind w:firstLine="640"/>
        <w:rPr>
          <w:rFonts w:ascii="仿宋_GB2312" w:hAnsi="宋体"/>
          <w:szCs w:val="28"/>
          <w:lang w:val="fr-FR"/>
        </w:rPr>
      </w:pPr>
      <w:r>
        <w:rPr>
          <w:rFonts w:hint="eastAsia" w:ascii="仿宋_GB2312" w:hAnsi="宋体"/>
          <w:szCs w:val="28"/>
          <w:lang w:val="fr-FR"/>
        </w:rPr>
        <w:t>《DB65/T 4454-2021  新疆褐牛生产性能测定技术规范》</w:t>
      </w:r>
    </w:p>
    <w:p w14:paraId="483951D5">
      <w:pPr>
        <w:ind w:firstLine="640"/>
        <w:rPr>
          <w:rFonts w:ascii="仿宋_GB2312" w:hAnsi="宋体"/>
          <w:szCs w:val="28"/>
          <w:lang w:val="fr-FR"/>
        </w:rPr>
      </w:pPr>
      <w:r>
        <w:rPr>
          <w:rFonts w:hint="eastAsia" w:ascii="仿宋_GB2312" w:hAnsi="宋体"/>
          <w:szCs w:val="28"/>
          <w:lang w:val="fr-FR"/>
        </w:rPr>
        <w:t>《NY/T 1450-2025  奶牛生产性能测定技术规范》</w:t>
      </w:r>
    </w:p>
    <w:p w14:paraId="2585D6B6">
      <w:pPr>
        <w:ind w:firstLine="640"/>
        <w:rPr>
          <w:rFonts w:ascii="仿宋_GB2312" w:hAnsi="宋体"/>
          <w:szCs w:val="28"/>
          <w:lang w:val="fr-FR"/>
        </w:rPr>
      </w:pPr>
      <w:r>
        <w:rPr>
          <w:rFonts w:hint="eastAsia" w:ascii="仿宋_GB2312" w:hAnsi="宋体"/>
          <w:szCs w:val="28"/>
          <w:lang w:val="fr-FR"/>
        </w:rPr>
        <w:t>《GB/T 43842-2024  牦牛生产性能测定技术规范》</w:t>
      </w:r>
    </w:p>
    <w:p w14:paraId="7D5DC7F4">
      <w:pPr>
        <w:ind w:firstLine="640"/>
        <w:rPr>
          <w:rFonts w:ascii="仿宋_GB2312" w:hAnsi="宋体"/>
          <w:szCs w:val="28"/>
          <w:lang w:val="fr-FR"/>
        </w:rPr>
      </w:pPr>
      <w:r>
        <w:rPr>
          <w:rFonts w:hint="eastAsia" w:ascii="仿宋_GB2312" w:hAnsi="宋体"/>
          <w:szCs w:val="28"/>
          <w:lang w:val="fr-FR"/>
        </w:rPr>
        <w:t>《GB/T 43838-2024  肉牛生产性能测定技术规范》</w:t>
      </w:r>
    </w:p>
    <w:p w14:paraId="24AAFA32">
      <w:pPr>
        <w:ind w:firstLine="640"/>
        <w:rPr>
          <w:rFonts w:ascii="仿宋_GB2312" w:hAnsi="宋体"/>
          <w:szCs w:val="28"/>
          <w:lang w:val="fr-FR"/>
        </w:rPr>
      </w:pPr>
      <w:r>
        <w:rPr>
          <w:rFonts w:hint="eastAsia" w:ascii="仿宋_GB2312" w:hAnsi="宋体"/>
          <w:szCs w:val="28"/>
          <w:lang w:val="fr-FR"/>
        </w:rPr>
        <w:t>《DB12/T 1309-2024  奶牛生产性能测定技术规范》</w:t>
      </w:r>
    </w:p>
    <w:p w14:paraId="23A82DC1">
      <w:pPr>
        <w:ind w:firstLine="640"/>
        <w:rPr>
          <w:rFonts w:ascii="仿宋_GB2312" w:hAnsi="宋体"/>
          <w:szCs w:val="28"/>
          <w:lang w:val="fr-FR"/>
        </w:rPr>
      </w:pPr>
      <w:r>
        <w:rPr>
          <w:rFonts w:hint="eastAsia" w:ascii="仿宋_GB2312" w:hAnsi="宋体"/>
          <w:szCs w:val="28"/>
          <w:lang w:val="fr-FR"/>
        </w:rPr>
        <w:t>《DB43/T 2477-2022  湘西黄牛生产性能测定技术规程》</w:t>
      </w:r>
    </w:p>
    <w:p w14:paraId="704CFF39">
      <w:pPr>
        <w:ind w:firstLine="640"/>
        <w:rPr>
          <w:rFonts w:ascii="仿宋_GB2312" w:hAnsi="宋体"/>
          <w:szCs w:val="28"/>
          <w:lang w:val="fr-FR"/>
        </w:rPr>
      </w:pPr>
      <w:r>
        <w:rPr>
          <w:rFonts w:hint="eastAsia" w:ascii="仿宋_GB2312" w:hAnsi="宋体"/>
          <w:szCs w:val="28"/>
          <w:lang w:val="fr-FR"/>
        </w:rPr>
        <w:t>《DB65/T 4505-2022  奶牛生产性能测定技术规范》</w:t>
      </w:r>
    </w:p>
    <w:p w14:paraId="2933A4F9">
      <w:pPr>
        <w:ind w:firstLine="640"/>
        <w:rPr>
          <w:rFonts w:ascii="仿宋_GB2312" w:hAnsi="宋体"/>
          <w:szCs w:val="28"/>
          <w:lang w:val="fr-FR"/>
        </w:rPr>
      </w:pPr>
      <w:r>
        <w:rPr>
          <w:rFonts w:hint="eastAsia" w:ascii="仿宋_GB2312" w:hAnsi="宋体"/>
          <w:szCs w:val="28"/>
          <w:lang w:val="fr-FR"/>
        </w:rPr>
        <w:t>《DB43/T 2178-2021  奶牛生产性能测定技术规范》</w:t>
      </w:r>
    </w:p>
    <w:p w14:paraId="324F0ECB">
      <w:pPr>
        <w:ind w:firstLine="640"/>
        <w:rPr>
          <w:rFonts w:ascii="仿宋_GB2312" w:hAnsi="宋体"/>
          <w:szCs w:val="28"/>
          <w:lang w:val="fr-FR"/>
        </w:rPr>
      </w:pPr>
      <w:r>
        <w:rPr>
          <w:rFonts w:hint="eastAsia" w:ascii="仿宋_GB2312" w:hAnsi="宋体"/>
          <w:szCs w:val="28"/>
          <w:lang w:val="fr-FR"/>
        </w:rPr>
        <w:t>《NY/T 2766-2015  牦牛生产性能测定技术规范》</w:t>
      </w:r>
    </w:p>
    <w:p w14:paraId="0E865627">
      <w:pPr>
        <w:ind w:firstLine="640"/>
        <w:rPr>
          <w:rFonts w:ascii="仿宋_GB2312" w:hAnsi="宋体"/>
          <w:szCs w:val="28"/>
          <w:lang w:val="fr-FR"/>
        </w:rPr>
      </w:pPr>
      <w:r>
        <w:rPr>
          <w:rFonts w:hint="eastAsia" w:ascii="仿宋_GB2312" w:hAnsi="宋体"/>
          <w:szCs w:val="28"/>
          <w:lang w:val="fr-FR"/>
        </w:rPr>
        <w:t>《T/GXAS 806—2024</w:t>
      </w:r>
      <w:r>
        <w:rPr>
          <w:rFonts w:hint="eastAsia" w:ascii="仿宋_GB2312" w:hAnsi="宋体"/>
          <w:szCs w:val="28"/>
          <w:lang w:val="fr-FR"/>
        </w:rPr>
        <w:tab/>
      </w:r>
      <w:r>
        <w:rPr>
          <w:rFonts w:hint="eastAsia" w:ascii="仿宋_GB2312" w:hAnsi="宋体"/>
          <w:szCs w:val="28"/>
          <w:lang w:val="fr-FR"/>
        </w:rPr>
        <w:t>奶水牛生产性能测定技术规范》</w:t>
      </w:r>
    </w:p>
    <w:p w14:paraId="7BF7716A">
      <w:pPr>
        <w:ind w:firstLine="640"/>
        <w:rPr>
          <w:rFonts w:ascii="仿宋_GB2312" w:hAnsi="宋体"/>
          <w:szCs w:val="28"/>
          <w:lang w:val="fr-FR"/>
        </w:rPr>
      </w:pPr>
      <w:r>
        <w:rPr>
          <w:rFonts w:hint="eastAsia" w:ascii="仿宋_GB2312" w:hAnsi="宋体"/>
          <w:szCs w:val="28"/>
          <w:lang w:val="fr-FR"/>
        </w:rPr>
        <w:t>《T/NAASS 114—2024安格斯牛生产性能测定技术规程》</w:t>
      </w:r>
    </w:p>
    <w:p w14:paraId="70C370EE">
      <w:pPr>
        <w:ind w:firstLine="640"/>
        <w:rPr>
          <w:rFonts w:ascii="仿宋_GB2312" w:hAnsi="宋体"/>
          <w:szCs w:val="28"/>
          <w:lang w:val="fr-FR"/>
        </w:rPr>
      </w:pPr>
      <w:r>
        <w:rPr>
          <w:rFonts w:hint="eastAsia" w:ascii="仿宋_GB2312" w:hAnsi="宋体"/>
          <w:szCs w:val="28"/>
          <w:lang w:val="fr-FR"/>
        </w:rPr>
        <w:t>《T/NXSLX 0203—2025</w:t>
      </w:r>
      <w:r>
        <w:rPr>
          <w:rFonts w:hint="eastAsia" w:ascii="仿宋_GB2312" w:hAnsi="宋体"/>
          <w:szCs w:val="28"/>
          <w:lang w:val="fr-FR"/>
        </w:rPr>
        <w:tab/>
      </w:r>
      <w:r>
        <w:rPr>
          <w:rFonts w:hint="eastAsia" w:ascii="仿宋_GB2312" w:hAnsi="宋体"/>
          <w:szCs w:val="28"/>
          <w:lang w:val="fr-FR"/>
        </w:rPr>
        <w:t>奶牛生产性能测定技术规范 第1部分：奶样采集》</w:t>
      </w:r>
    </w:p>
    <w:p w14:paraId="4D47E667">
      <w:pPr>
        <w:ind w:firstLine="640"/>
        <w:rPr>
          <w:rFonts w:ascii="仿宋_GB2312" w:hAnsi="宋体"/>
          <w:szCs w:val="28"/>
          <w:lang w:val="fr-FR"/>
        </w:rPr>
      </w:pPr>
      <w:r>
        <w:rPr>
          <w:rFonts w:hint="eastAsia" w:ascii="仿宋_GB2312" w:hAnsi="宋体"/>
          <w:szCs w:val="28"/>
          <w:lang w:val="fr-FR"/>
        </w:rPr>
        <w:t>《T/NXSLX 0204—2025</w:t>
      </w:r>
      <w:r>
        <w:rPr>
          <w:rFonts w:hint="eastAsia" w:ascii="仿宋_GB2312" w:hAnsi="宋体"/>
          <w:szCs w:val="28"/>
          <w:lang w:val="fr-FR"/>
        </w:rPr>
        <w:tab/>
      </w:r>
      <w:r>
        <w:rPr>
          <w:rFonts w:hint="eastAsia" w:ascii="仿宋_GB2312" w:hAnsi="宋体"/>
          <w:szCs w:val="28"/>
          <w:lang w:val="fr-FR"/>
        </w:rPr>
        <w:t>奶牛生产性能测定技术规范 第2部分：奶样检测》</w:t>
      </w:r>
    </w:p>
    <w:p w14:paraId="0099296F">
      <w:pPr>
        <w:ind w:firstLine="640"/>
        <w:rPr>
          <w:rFonts w:ascii="仿宋_GB2312" w:hAnsi="宋体"/>
          <w:szCs w:val="28"/>
          <w:lang w:val="fr-FR"/>
        </w:rPr>
      </w:pPr>
      <w:r>
        <w:rPr>
          <w:rFonts w:hint="eastAsia" w:ascii="仿宋_GB2312" w:hAnsi="宋体"/>
          <w:szCs w:val="28"/>
          <w:lang w:val="fr-FR"/>
        </w:rPr>
        <w:t>《T/NXSLX 0205—2025 奶牛生产性能测定技术规范 第3部分：实验室管理》</w:t>
      </w:r>
    </w:p>
    <w:p w14:paraId="30E9040A">
      <w:pPr>
        <w:ind w:firstLine="640"/>
        <w:rPr>
          <w:rFonts w:ascii="仿宋_GB2312" w:hAnsi="宋体"/>
          <w:szCs w:val="28"/>
          <w:lang w:val="fr-FR"/>
        </w:rPr>
      </w:pPr>
      <w:r>
        <w:rPr>
          <w:rFonts w:hint="eastAsia" w:ascii="仿宋_GB2312" w:hAnsi="宋体"/>
          <w:szCs w:val="28"/>
          <w:lang w:val="fr-FR"/>
        </w:rPr>
        <w:t>2、相关文献</w:t>
      </w:r>
    </w:p>
    <w:p w14:paraId="00DA4D74">
      <w:pPr>
        <w:spacing w:line="560" w:lineRule="exact"/>
        <w:ind w:firstLine="640"/>
        <w:rPr>
          <w:rFonts w:ascii="仿宋_GB2312" w:hAnsi="宋体"/>
          <w:szCs w:val="28"/>
        </w:rPr>
      </w:pPr>
      <w:r>
        <w:rPr>
          <w:rFonts w:hint="eastAsia" w:ascii="仿宋_GB2312" w:hAnsi="宋体"/>
          <w:szCs w:val="28"/>
        </w:rPr>
        <w:t>[1]  黄荣春,张起强,于农淇,等.6月龄摩拉水牛体重与体尺指标的相关性分析及逐步回归方程的建立[J].饲料研究,2025,48(24):68-72.</w:t>
      </w:r>
    </w:p>
    <w:p w14:paraId="413C55FD">
      <w:pPr>
        <w:spacing w:line="560" w:lineRule="exact"/>
        <w:ind w:firstLine="640"/>
        <w:rPr>
          <w:rFonts w:ascii="仿宋_GB2312" w:hAnsi="宋体"/>
          <w:szCs w:val="28"/>
        </w:rPr>
      </w:pPr>
      <w:r>
        <w:rPr>
          <w:rFonts w:hint="eastAsia" w:ascii="仿宋_GB2312" w:hAnsi="宋体"/>
          <w:szCs w:val="28"/>
        </w:rPr>
        <w:t>[2]  覃广胜,杨春艳,黄键,等.地中海水牛杂交后代生长性能测定初报[J].中国牛业科学,2012,38(04):28-31.</w:t>
      </w:r>
    </w:p>
    <w:p w14:paraId="2132BEE8">
      <w:pPr>
        <w:spacing w:line="560" w:lineRule="exact"/>
        <w:ind w:firstLine="640"/>
        <w:rPr>
          <w:rFonts w:ascii="仿宋_GB2312" w:hAnsi="宋体"/>
          <w:szCs w:val="28"/>
        </w:rPr>
      </w:pPr>
      <w:r>
        <w:rPr>
          <w:rFonts w:hint="eastAsia" w:ascii="仿宋_GB2312" w:hAnsi="宋体"/>
          <w:szCs w:val="28"/>
        </w:rPr>
        <w:t>[3]  熊小荣,赵朝步,邹彩霞,等.广西杂交水牛初配月龄及产犊间隔、犊牛出生重与泌乳性能的关系[J].黑龙江畜牧兽医,2015,(23):226-228.</w:t>
      </w:r>
    </w:p>
    <w:p w14:paraId="333C711C">
      <w:pPr>
        <w:spacing w:line="560" w:lineRule="exact"/>
        <w:ind w:firstLine="640"/>
        <w:rPr>
          <w:rFonts w:ascii="仿宋_GB2312" w:hAnsi="宋体"/>
          <w:szCs w:val="28"/>
        </w:rPr>
      </w:pPr>
      <w:r>
        <w:rPr>
          <w:rFonts w:hint="eastAsia" w:ascii="仿宋_GB2312" w:hAnsi="宋体"/>
          <w:szCs w:val="28"/>
        </w:rPr>
        <w:t>[4]  韦科龙,文崇利,卢瑛,等.河流型成年母水牛体重体尺主成分分析[J].中国畜禽种业,2024,20(06):24-31.</w:t>
      </w:r>
    </w:p>
    <w:p w14:paraId="1B05A0DF">
      <w:pPr>
        <w:spacing w:line="560" w:lineRule="exact"/>
        <w:ind w:firstLine="640"/>
        <w:rPr>
          <w:rFonts w:ascii="仿宋_GB2312" w:hAnsi="宋体"/>
          <w:szCs w:val="28"/>
        </w:rPr>
      </w:pPr>
      <w:r>
        <w:rPr>
          <w:rFonts w:hint="eastAsia" w:ascii="仿宋_GB2312" w:hAnsi="宋体"/>
          <w:szCs w:val="28"/>
        </w:rPr>
        <w:t>[5]  卢瑛,韦科龙,李治培,等.河流型水牛奶体细胞数影响因素分析[J].中国畜牧杂志,2021,57(08):107-109+113.</w:t>
      </w:r>
    </w:p>
    <w:p w14:paraId="367643B4">
      <w:pPr>
        <w:spacing w:line="560" w:lineRule="exact"/>
        <w:ind w:firstLine="640"/>
        <w:rPr>
          <w:rFonts w:ascii="仿宋_GB2312" w:hAnsi="宋体"/>
          <w:szCs w:val="28"/>
        </w:rPr>
      </w:pPr>
      <w:r>
        <w:rPr>
          <w:rFonts w:hint="eastAsia" w:ascii="仿宋_GB2312" w:hAnsi="宋体"/>
          <w:szCs w:val="28"/>
        </w:rPr>
        <w:t>[6]  陆呈委,邓廷贤,谭正准,等.奶水牛乳房线性性状主成分分析研究[J].中国牛业科学,2016,42(02):1-3.</w:t>
      </w:r>
    </w:p>
    <w:p w14:paraId="447F71D3">
      <w:pPr>
        <w:spacing w:line="560" w:lineRule="exact"/>
        <w:ind w:firstLine="640"/>
        <w:rPr>
          <w:rFonts w:ascii="仿宋_GB2312" w:hAnsi="宋体"/>
          <w:szCs w:val="28"/>
        </w:rPr>
      </w:pPr>
      <w:r>
        <w:rPr>
          <w:rFonts w:hint="eastAsia" w:ascii="仿宋_GB2312" w:hAnsi="宋体"/>
          <w:szCs w:val="28"/>
        </w:rPr>
        <w:t>[7]  邓慧芳,韦昱,杜玉兰,等.奶水牛乳中体细胞数与乳成分的相关分析[J].中国畜牧兽医,2013,40(06):241-244.</w:t>
      </w:r>
    </w:p>
    <w:p w14:paraId="4FF88836">
      <w:pPr>
        <w:spacing w:line="560" w:lineRule="exact"/>
        <w:ind w:firstLine="640"/>
        <w:rPr>
          <w:rFonts w:ascii="仿宋_GB2312" w:hAnsi="宋体"/>
          <w:szCs w:val="28"/>
        </w:rPr>
      </w:pPr>
      <w:r>
        <w:rPr>
          <w:rFonts w:hint="eastAsia" w:ascii="仿宋_GB2312" w:hAnsi="宋体"/>
          <w:szCs w:val="28"/>
        </w:rPr>
        <w:t>[8]  邓廷贤,陆呈委,庞春英,等.奶水牛体尺性状与乳房性状间的典型相关分析[J].中国草食动物科学,2016,36(03):21-23+30.</w:t>
      </w:r>
    </w:p>
    <w:p w14:paraId="32F7979B">
      <w:pPr>
        <w:spacing w:line="560" w:lineRule="exact"/>
        <w:ind w:firstLine="640"/>
        <w:rPr>
          <w:rFonts w:ascii="仿宋_GB2312" w:hAnsi="宋体"/>
          <w:szCs w:val="28"/>
        </w:rPr>
      </w:pPr>
      <w:r>
        <w:rPr>
          <w:rFonts w:hint="eastAsia" w:ascii="仿宋_GB2312" w:hAnsi="宋体"/>
          <w:szCs w:val="28"/>
        </w:rPr>
        <w:t>[9]  钟华配,韦科龙,黄健,等.河流型杂交公水牛屠宰性能的研究[J].中国动物保健,2021,23(02):91+93.</w:t>
      </w:r>
    </w:p>
    <w:p w14:paraId="3ECD93DC">
      <w:pPr>
        <w:spacing w:line="560" w:lineRule="exact"/>
        <w:ind w:firstLine="643"/>
        <w:rPr>
          <w:rFonts w:ascii="楷体" w:hAnsi="楷体" w:eastAsia="楷体" w:cs="仿宋_GB2312"/>
          <w:b/>
          <w:szCs w:val="28"/>
        </w:rPr>
      </w:pPr>
      <w:r>
        <w:rPr>
          <w:rFonts w:hint="eastAsia" w:ascii="楷体" w:hAnsi="楷体" w:eastAsia="楷体" w:cs="仿宋_GB2312"/>
          <w:b/>
          <w:szCs w:val="28"/>
        </w:rPr>
        <w:t>（三）研讨确定标准特色、创新点和主要内容</w:t>
      </w:r>
    </w:p>
    <w:p w14:paraId="1DFE769D">
      <w:pPr>
        <w:spacing w:line="560" w:lineRule="exact"/>
        <w:ind w:firstLine="640"/>
        <w:rPr>
          <w:rFonts w:ascii="仿宋_GB2312" w:hAnsi="宋体"/>
          <w:szCs w:val="28"/>
        </w:rPr>
      </w:pPr>
      <w:r>
        <w:rPr>
          <w:rFonts w:hint="eastAsia" w:ascii="仿宋_GB2312" w:hAnsi="宋体"/>
          <w:szCs w:val="28"/>
        </w:rPr>
        <w:t>1、特色及创新点</w:t>
      </w:r>
    </w:p>
    <w:p w14:paraId="14721B1D">
      <w:pPr>
        <w:spacing w:line="560" w:lineRule="exact"/>
        <w:ind w:firstLine="640"/>
        <w:rPr>
          <w:rFonts w:ascii="仿宋_GB2312" w:hAnsi="宋体"/>
          <w:szCs w:val="28"/>
        </w:rPr>
      </w:pPr>
      <w:r>
        <w:rPr>
          <w:rFonts w:hint="eastAsia" w:ascii="仿宋_GB2312" w:hAnsi="宋体"/>
          <w:szCs w:val="28"/>
        </w:rPr>
        <w:t>（1）针对奶水牛乳脂率、乳蛋白含量天然偏高的品种特性，明确测定核心指标涵盖日产乳量、乳脂肪、乳蛋白等6项生产性能指标及22项体型线性评定指标（含体高、尻宽、乳房深度等关键维度），精准设定对连续3次DHI测定结果进行分析，若乳蛋白含量≥4.5 g/100 g、乳脂肪含量≥7.5 g/100 g，可作为核心群选留的参考指标。创新点：突破传统通用型测定标准的局限，首次将奶水牛品种特异性指标与配套技术标准深度绑定，既通过细化的体型线性评定指标支撑育种选优，又以明确的乳成分阈值保障产品特色，填补了奶水牛生产性能测定“品种适配性”的技术空白。</w:t>
      </w:r>
    </w:p>
    <w:p w14:paraId="51850752">
      <w:pPr>
        <w:spacing w:line="560" w:lineRule="exact"/>
        <w:ind w:firstLine="640"/>
        <w:rPr>
          <w:rFonts w:ascii="仿宋_GB2312" w:hAnsi="宋体"/>
          <w:szCs w:val="28"/>
        </w:rPr>
      </w:pPr>
      <w:r>
        <w:rPr>
          <w:rFonts w:hint="eastAsia" w:ascii="仿宋_GB2312" w:hAnsi="宋体"/>
          <w:szCs w:val="28"/>
        </w:rPr>
        <w:t>（2）建立“场户条件-人员资质-设施配置-操作流程-数据管理-测定结果分析与应用”全流程规范，明确核心场需具备固定挤奶厅、15</w:t>
      </w:r>
      <w:r>
        <w:rPr>
          <w:rFonts w:hint="eastAsia" w:ascii="仿宋_GB2312" w:hAnsi="宋体" w:eastAsia="宋体" w:cs="宋体"/>
          <w:szCs w:val="28"/>
        </w:rPr>
        <w:t>㎡</w:t>
      </w:r>
      <w:r>
        <w:rPr>
          <w:rFonts w:hint="eastAsia" w:ascii="仿宋_GB2312" w:hAnsi="宋体" w:cs="仿宋_GB2312"/>
          <w:szCs w:val="28"/>
        </w:rPr>
        <w:t>专用采样室（含</w:t>
      </w:r>
      <w:r>
        <w:rPr>
          <w:rFonts w:hint="eastAsia" w:ascii="仿宋_GB2312" w:hAnsi="宋体"/>
          <w:szCs w:val="28"/>
        </w:rPr>
        <w:t>4℃冷藏柜等设备）、电子耳标识别系统等硬件条件，要求测定技术员经自治区级DHI培训考核，数据采集覆盖生产性能、繁殖育种、疫病防治等7类核心记录，且电子数据永久保存。</w:t>
      </w:r>
    </w:p>
    <w:p w14:paraId="5B171EF7">
      <w:pPr>
        <w:spacing w:line="560" w:lineRule="exact"/>
        <w:ind w:firstLine="640"/>
        <w:rPr>
          <w:rFonts w:ascii="仿宋_GB2312" w:hAnsi="宋体"/>
          <w:szCs w:val="28"/>
        </w:rPr>
      </w:pPr>
      <w:r>
        <w:rPr>
          <w:rFonts w:hint="eastAsia" w:ascii="仿宋_GB2312" w:hAnsi="宋体"/>
          <w:szCs w:val="28"/>
        </w:rPr>
        <w:t>（3）规范奶水牛专属身份标识体系，采用15位电子标签/外挂耳标编码（含畜种、县区、出生年号等关键信息），确保个体溯源可查；将测定数据与育种深度绑定，要求基于基因组遗传评估、动物模型BLUP法等开展优秀母牛选择，明确初产母牛270d校正产奶量≥1800kg、经产≥2000kg的选种标准，同时配套5类标准化记录表格，实现数据全生命周期可追溯。创新点：打破“测定与应用脱节”的传统模式，将性能测定数据转化为育种选优的直接依据，同时通过标准化档案管理衔接《畜禽标识和养殖档案管理办法》等政策要求，既为奶水牛遗传改良提供精准数据支撑，又满足产业质量追溯需求，推动“测定-育种-产业”的良性循环。</w:t>
      </w:r>
    </w:p>
    <w:p w14:paraId="4760905E">
      <w:pPr>
        <w:spacing w:line="560" w:lineRule="exact"/>
        <w:ind w:firstLine="640"/>
        <w:rPr>
          <w:rFonts w:ascii="仿宋_GB2312" w:hAnsi="宋体"/>
          <w:szCs w:val="28"/>
        </w:rPr>
      </w:pPr>
      <w:r>
        <w:rPr>
          <w:rFonts w:hint="eastAsia" w:ascii="仿宋_GB2312" w:hAnsi="宋体"/>
          <w:szCs w:val="28"/>
        </w:rPr>
        <w:t>2、主体内容</w:t>
      </w:r>
    </w:p>
    <w:p w14:paraId="6A82D89E">
      <w:pPr>
        <w:spacing w:line="560" w:lineRule="exact"/>
        <w:ind w:firstLine="640"/>
        <w:rPr>
          <w:rFonts w:ascii="仿宋_GB2312" w:hAnsi="宋体"/>
          <w:szCs w:val="28"/>
        </w:rPr>
      </w:pPr>
      <w:r>
        <w:rPr>
          <w:rFonts w:hint="eastAsia" w:ascii="仿宋_GB2312" w:hAnsi="宋体"/>
          <w:szCs w:val="28"/>
        </w:rPr>
        <w:t>标准编制工作组在对收集的资料进行整理研究之后，2025年12月，标准编制工作组召开了标准编制会议，对标准的整体框架结构进行了研究，并对标准的关键性内容进行了初步探讨。经过研究，标准的主体内容确定为术语和定义、</w:t>
      </w:r>
      <w:r>
        <w:rPr>
          <w:rFonts w:hint="eastAsia"/>
          <w:color w:val="000000" w:themeColor="text1"/>
          <w14:textFill>
            <w14:solidFill>
              <w14:schemeClr w14:val="tx1"/>
            </w14:solidFill>
          </w14:textFill>
        </w:rPr>
        <w:t>参测要求、测定内容与方法、测定流程管理、数据采集与管理、测定结果分析与应用</w:t>
      </w:r>
      <w:r>
        <w:rPr>
          <w:rFonts w:hint="eastAsia" w:ascii="仿宋_GB2312" w:hAnsi="宋体"/>
          <w:szCs w:val="28"/>
        </w:rPr>
        <w:t>。</w:t>
      </w:r>
    </w:p>
    <w:p w14:paraId="4994FFFB">
      <w:pPr>
        <w:spacing w:line="560" w:lineRule="exact"/>
        <w:ind w:firstLine="643"/>
        <w:rPr>
          <w:rFonts w:ascii="楷体" w:hAnsi="楷体" w:eastAsia="楷体" w:cs="仿宋_GB2312"/>
          <w:b/>
          <w:szCs w:val="28"/>
        </w:rPr>
      </w:pPr>
      <w:r>
        <w:rPr>
          <w:rFonts w:hint="eastAsia" w:ascii="楷体" w:hAnsi="楷体" w:eastAsia="楷体" w:cs="仿宋_GB2312"/>
          <w:b/>
          <w:szCs w:val="28"/>
        </w:rPr>
        <w:t>（四）调研及形成草案、征求意见稿</w:t>
      </w:r>
    </w:p>
    <w:p w14:paraId="057E98C0">
      <w:pPr>
        <w:ind w:firstLine="640"/>
        <w:rPr>
          <w:rFonts w:ascii="宋体" w:hAnsi="宋体" w:cs="宋体"/>
          <w:bCs/>
          <w:szCs w:val="21"/>
        </w:rPr>
      </w:pPr>
      <w:r>
        <w:rPr>
          <w:rFonts w:hint="eastAsia" w:ascii="仿宋_GB2312" w:hAnsi="宋体"/>
          <w:szCs w:val="28"/>
        </w:rPr>
        <w:t>2025年12月，标准起草工作小组进行了广泛调研工作，查阅了大量的国内外文献资料，对奶水牛生产性能测定管理规范的前人研究成果进行系统总结。形成了标准的基本构架，对主要内容进行了讨论并对项目的工作进行了部署和安排。</w:t>
      </w:r>
    </w:p>
    <w:p w14:paraId="7D5359C4">
      <w:pPr>
        <w:ind w:firstLine="640"/>
        <w:rPr>
          <w:rFonts w:ascii="仿宋_GB2312" w:hAnsi="宋体"/>
          <w:szCs w:val="28"/>
        </w:rPr>
      </w:pPr>
      <w:r>
        <w:rPr>
          <w:rFonts w:hint="eastAsia" w:ascii="仿宋_GB2312" w:hAnsi="宋体"/>
          <w:szCs w:val="28"/>
        </w:rPr>
        <w:t>2026年1月，在前期工作的基础之上，通过理清逻辑脉络，整合已有的参考资料中有关奶水牛生产性能测定管理规范要求，并结合奶水牛生产性能测定管理规范实际要求的基础上，按照简化、统一等原则编制完成团体标准《奶水牛生产性能测定管理规范》（草案）。</w:t>
      </w:r>
    </w:p>
    <w:p w14:paraId="6569DDED">
      <w:pPr>
        <w:autoSpaceDE w:val="0"/>
        <w:autoSpaceDN w:val="0"/>
        <w:adjustRightInd w:val="0"/>
        <w:spacing w:line="600" w:lineRule="exact"/>
        <w:ind w:firstLine="640"/>
        <w:rPr>
          <w:rFonts w:ascii="仿宋_GB2312" w:hAnsi="宋体"/>
          <w:szCs w:val="28"/>
        </w:rPr>
      </w:pPr>
      <w:r>
        <w:rPr>
          <w:rFonts w:hint="eastAsia" w:ascii="仿宋_GB2312" w:hAnsi="宋体"/>
          <w:szCs w:val="28"/>
        </w:rPr>
        <w:t>2026年2月～3月，标准起草工作组召集</w:t>
      </w:r>
      <w:r>
        <w:rPr>
          <w:rFonts w:hint="eastAsia"/>
          <w:color w:val="000000" w:themeColor="text1"/>
          <w14:textFill>
            <w14:solidFill>
              <w14:schemeClr w14:val="tx1"/>
            </w14:solidFill>
          </w14:textFill>
        </w:rPr>
        <w:t>广西农业工程职业技术学院、广西壮族自治区畜禽品种改良站、灵山农业农村局、灵山县畜牧技术服务站、广西灵山百菲奶水牛养殖有限公司、广西皇氏乳业有限公司、中国农业科学院北京畜牧兽医研究所</w:t>
      </w:r>
      <w:r>
        <w:rPr>
          <w:rFonts w:hint="eastAsia" w:ascii="宋体" w:hAnsi="宋体" w:cs="宋体"/>
          <w:bCs/>
          <w:szCs w:val="21"/>
        </w:rPr>
        <w:t>等</w:t>
      </w:r>
      <w:r>
        <w:rPr>
          <w:rFonts w:ascii="仿宋_GB2312" w:hAnsi="宋体"/>
          <w:szCs w:val="28"/>
        </w:rPr>
        <w:t>相关单位进行调研</w:t>
      </w:r>
      <w:r>
        <w:rPr>
          <w:rFonts w:hint="eastAsia" w:ascii="仿宋_GB2312" w:hAnsi="宋体"/>
          <w:szCs w:val="28"/>
        </w:rPr>
        <w:t>讨论</w:t>
      </w:r>
      <w:r>
        <w:rPr>
          <w:rFonts w:ascii="仿宋_GB2312" w:hAnsi="宋体"/>
          <w:szCs w:val="28"/>
        </w:rPr>
        <w:t>，</w:t>
      </w:r>
      <w:r>
        <w:rPr>
          <w:rFonts w:hint="eastAsia" w:ascii="仿宋_GB2312" w:hAnsi="宋体"/>
          <w:szCs w:val="28"/>
        </w:rPr>
        <w:t>并实际征求意见，通过收集反馈了大量意见，标准编制工作组多次召开会议，对标准草案进行了反复修改和研究讨论。进一步讨论完善标准草案，形成团体标准《奶水牛生产性能测定管理规范》（征求意见稿）和（征求意见稿）编制说明。</w:t>
      </w:r>
    </w:p>
    <w:p w14:paraId="7AC4C42B">
      <w:pPr>
        <w:ind w:firstLine="0" w:firstLineChars="0"/>
      </w:pPr>
      <w:r>
        <w:drawing>
          <wp:inline distT="0" distB="0" distL="0" distR="0">
            <wp:extent cx="2707005" cy="2030730"/>
            <wp:effectExtent l="0" t="0" r="0" b="7620"/>
            <wp:docPr id="8" name="图片 8" descr="D:\我的文档\xwechat_files\wxid_v3j52f42taun22_f98f\temp\RWTemp\2026-03\48573ad5cf5be5b2167f22487bc954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我的文档\xwechat_files\wxid_v3j52f42taun22_f98f\temp\RWTemp\2026-03\48573ad5cf5be5b2167f22487bc954d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20988" cy="2040822"/>
                    </a:xfrm>
                    <a:prstGeom prst="rect">
                      <a:avLst/>
                    </a:prstGeom>
                    <a:noFill/>
                    <a:ln>
                      <a:noFill/>
                    </a:ln>
                  </pic:spPr>
                </pic:pic>
              </a:graphicData>
            </a:graphic>
          </wp:inline>
        </w:drawing>
      </w:r>
      <w:r>
        <w:rPr>
          <w:rFonts w:eastAsia="Times New Roman"/>
          <w:snapToGrid w:val="0"/>
          <w:color w:val="000000"/>
          <w:w w:val="0"/>
          <w:kern w:val="0"/>
          <w:sz w:val="0"/>
          <w:szCs w:val="0"/>
          <w:u w:color="000000"/>
          <w:shd w:val="clear" w:color="000000" w:fill="000000"/>
          <w:lang w:val="zh-CN" w:eastAsia="zh-CN" w:bidi="zh-CN"/>
        </w:rPr>
        <w:t xml:space="preserve"> </w:t>
      </w:r>
      <w:r>
        <w:drawing>
          <wp:inline distT="0" distB="0" distL="0" distR="0">
            <wp:extent cx="2743200" cy="2056130"/>
            <wp:effectExtent l="0" t="0" r="0" b="1270"/>
            <wp:docPr id="9" name="图片 9" descr="D:\我的文档\xwechat_files\wxid_v3j52f42taun22_f98f\temp\RWTemp\2026-03\115ed6db36f7fd5e469108bfb9709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我的文档\xwechat_files\wxid_v3j52f42taun22_f98f\temp\RWTemp\2026-03\115ed6db36f7fd5e469108bfb97099cf.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46756" cy="2059261"/>
                    </a:xfrm>
                    <a:prstGeom prst="rect">
                      <a:avLst/>
                    </a:prstGeom>
                    <a:noFill/>
                    <a:ln>
                      <a:noFill/>
                    </a:ln>
                  </pic:spPr>
                </pic:pic>
              </a:graphicData>
            </a:graphic>
          </wp:inline>
        </w:drawing>
      </w:r>
    </w:p>
    <w:p w14:paraId="34C217ED">
      <w:pPr>
        <w:ind w:firstLine="0" w:firstLineChars="0"/>
        <w:jc w:val="center"/>
      </w:pPr>
      <w:r>
        <w:rPr>
          <w:rFonts w:hint="eastAsia"/>
        </w:rPr>
        <w:t>调研相关图片</w:t>
      </w:r>
    </w:p>
    <w:p w14:paraId="00131AE6">
      <w:pPr>
        <w:autoSpaceDE w:val="0"/>
        <w:autoSpaceDN w:val="0"/>
        <w:adjustRightInd w:val="0"/>
        <w:ind w:firstLine="640"/>
        <w:jc w:val="left"/>
        <w:rPr>
          <w:rFonts w:eastAsia="黑体"/>
          <w:bCs/>
          <w:szCs w:val="32"/>
        </w:rPr>
      </w:pPr>
      <w:bookmarkStart w:id="0" w:name="_Toc526940083"/>
      <w:r>
        <w:rPr>
          <w:rFonts w:eastAsia="黑体"/>
          <w:bCs/>
          <w:szCs w:val="32"/>
        </w:rPr>
        <w:t>四、</w:t>
      </w:r>
      <w:bookmarkEnd w:id="0"/>
      <w:r>
        <w:rPr>
          <w:rFonts w:eastAsia="黑体"/>
          <w:bCs/>
          <w:szCs w:val="32"/>
        </w:rPr>
        <w:t>制定标准的原则和依据，与现行法律、法规的关系，与有关国家标准、行业标准的协调情况</w:t>
      </w:r>
    </w:p>
    <w:p w14:paraId="49B9916B">
      <w:pPr>
        <w:pStyle w:val="12"/>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14:paraId="413E0A5E">
      <w:pPr>
        <w:tabs>
          <w:tab w:val="center" w:pos="4201"/>
          <w:tab w:val="right" w:leader="dot" w:pos="9298"/>
        </w:tabs>
        <w:autoSpaceDE w:val="0"/>
        <w:autoSpaceDN w:val="0"/>
        <w:ind w:firstLine="643"/>
        <w:outlineLvl w:val="2"/>
        <w:rPr>
          <w:rFonts w:eastAsia="仿宋"/>
          <w:b/>
          <w:bCs/>
          <w:kern w:val="0"/>
          <w:szCs w:val="32"/>
        </w:rPr>
      </w:pPr>
      <w:r>
        <w:rPr>
          <w:rFonts w:eastAsia="仿宋"/>
          <w:b/>
          <w:bCs/>
          <w:kern w:val="0"/>
          <w:szCs w:val="32"/>
        </w:rPr>
        <w:t>1</w:t>
      </w:r>
      <w:r>
        <w:rPr>
          <w:rFonts w:hint="eastAsia" w:eastAsia="仿宋"/>
          <w:b/>
          <w:bCs/>
          <w:kern w:val="0"/>
          <w:szCs w:val="32"/>
        </w:rPr>
        <w:t>．</w:t>
      </w:r>
      <w:r>
        <w:rPr>
          <w:rFonts w:eastAsia="仿宋"/>
          <w:b/>
          <w:bCs/>
          <w:kern w:val="0"/>
          <w:szCs w:val="32"/>
        </w:rPr>
        <w:t>实用性原则</w:t>
      </w:r>
    </w:p>
    <w:p w14:paraId="4ECEA1EA">
      <w:pPr>
        <w:ind w:firstLine="640"/>
        <w:rPr>
          <w:rFonts w:ascii="仿宋_GB2312" w:hAnsi="宋体"/>
          <w:szCs w:val="28"/>
        </w:rPr>
      </w:pPr>
      <w:r>
        <w:rPr>
          <w:rFonts w:hint="eastAsia" w:ascii="仿宋_GB2312" w:hAnsi="宋体"/>
          <w:szCs w:val="28"/>
        </w:rPr>
        <w:t>本文件是在充分收集相关资料和文献，分析奶水牛生产性能测定管理当前现状，在现有相关奶水牛生产性能测定管理要求的基础上，结合编制单位</w:t>
      </w:r>
      <w:r>
        <w:rPr>
          <w:rFonts w:ascii="仿宋_GB2312" w:hAnsi="宋体"/>
          <w:szCs w:val="28"/>
        </w:rPr>
        <w:t>多年</w:t>
      </w:r>
      <w:r>
        <w:rPr>
          <w:rFonts w:hint="eastAsia" w:ascii="仿宋_GB2312" w:hAnsi="宋体"/>
          <w:szCs w:val="28"/>
        </w:rPr>
        <w:t>相关经验而总结起草的，符合当前奶水牛生产性能测定管理发展的方向，具有较强的实用性和可操作性。</w:t>
      </w:r>
    </w:p>
    <w:p w14:paraId="69069850">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2．协调性原则</w:t>
      </w:r>
    </w:p>
    <w:p w14:paraId="3710CE99">
      <w:pPr>
        <w:ind w:firstLine="640"/>
        <w:rPr>
          <w:rFonts w:ascii="仿宋_GB2312" w:hAnsi="宋体"/>
          <w:szCs w:val="28"/>
        </w:rPr>
      </w:pPr>
      <w:r>
        <w:rPr>
          <w:rFonts w:hint="eastAsia" w:ascii="仿宋_GB2312" w:hAnsi="宋体"/>
          <w:szCs w:val="28"/>
        </w:rPr>
        <w:t>本文件编写过程中注意了与奶水牛生产性能测定管理相关法律法规的协调问题，在内容上与现行法律法规、标准协调一致。</w:t>
      </w:r>
    </w:p>
    <w:p w14:paraId="2620CBBB">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3．规范性原则</w:t>
      </w:r>
    </w:p>
    <w:p w14:paraId="1E512E1C">
      <w:pPr>
        <w:ind w:firstLine="640"/>
        <w:rPr>
          <w:rFonts w:ascii="仿宋_GB2312" w:hAnsi="宋体"/>
          <w:szCs w:val="28"/>
        </w:rPr>
      </w:pPr>
      <w:r>
        <w:rPr>
          <w:rFonts w:hint="eastAsia" w:ascii="仿宋_GB2312" w:hAnsi="宋体"/>
          <w:szCs w:val="28"/>
        </w:rPr>
        <w:t>本文件严格参照GB/T 1.1—2020《标准化工作导则  第1部分：标准化文件的结构和起草规则》编写本标准的内容，保证标准的编写质量。</w:t>
      </w:r>
    </w:p>
    <w:p w14:paraId="439609EC">
      <w:pPr>
        <w:tabs>
          <w:tab w:val="center" w:pos="4201"/>
          <w:tab w:val="right" w:leader="dot" w:pos="9298"/>
        </w:tabs>
        <w:autoSpaceDE w:val="0"/>
        <w:autoSpaceDN w:val="0"/>
        <w:ind w:firstLine="643"/>
        <w:outlineLvl w:val="2"/>
        <w:rPr>
          <w:rFonts w:eastAsia="仿宋"/>
          <w:b/>
          <w:bCs/>
          <w:kern w:val="0"/>
          <w:szCs w:val="32"/>
        </w:rPr>
      </w:pPr>
      <w:r>
        <w:rPr>
          <w:rFonts w:hint="eastAsia" w:eastAsia="仿宋"/>
          <w:b/>
          <w:bCs/>
          <w:kern w:val="0"/>
          <w:szCs w:val="32"/>
        </w:rPr>
        <w:t>4．前瞻性原则</w:t>
      </w:r>
    </w:p>
    <w:p w14:paraId="0170961C">
      <w:pPr>
        <w:ind w:firstLine="640"/>
        <w:rPr>
          <w:rFonts w:ascii="仿宋_GB2312" w:hAnsi="宋体"/>
          <w:szCs w:val="28"/>
        </w:rPr>
      </w:pPr>
      <w:r>
        <w:rPr>
          <w:rFonts w:hint="eastAsia" w:ascii="仿宋_GB2312" w:hAnsi="宋体"/>
          <w:szCs w:val="28"/>
        </w:rPr>
        <w:t>本文件在兼顾当前区内奶水牛生产性能测定管理规范现实情况的同时，还考虑到了奶水牛生产性能测定管理规范快速发展的趋势和需要，在标准中体现了个别特色性、前瞻性和先进性条款，作为对奶水牛生产性能测定管理的指导。</w:t>
      </w:r>
    </w:p>
    <w:p w14:paraId="5405A702">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14:paraId="2E4FAAF4">
      <w:pPr>
        <w:ind w:firstLine="640"/>
        <w:rPr>
          <w:rFonts w:ascii="仿宋_GB2312" w:hAnsi="宋体"/>
          <w:szCs w:val="28"/>
        </w:rPr>
      </w:pPr>
      <w:r>
        <w:rPr>
          <w:rFonts w:ascii="仿宋_GB2312" w:hAnsi="宋体"/>
          <w:szCs w:val="28"/>
        </w:rPr>
        <w:t>本标准严格按照GB/T 1.1—2020《标准化工作导则  第1部分：标准化文件的结构和起草规则》的规则起草，标准主要内容参考相关标准文件并结合起草单位多年的</w:t>
      </w:r>
      <w:r>
        <w:rPr>
          <w:rFonts w:hint="eastAsia" w:ascii="仿宋_GB2312" w:hAnsi="宋体"/>
          <w:szCs w:val="28"/>
        </w:rPr>
        <w:t>相关</w:t>
      </w:r>
      <w:r>
        <w:rPr>
          <w:rFonts w:ascii="仿宋_GB2312" w:hAnsi="宋体"/>
          <w:szCs w:val="28"/>
        </w:rPr>
        <w:t>经验</w:t>
      </w:r>
      <w:r>
        <w:rPr>
          <w:rFonts w:hint="eastAsia" w:ascii="仿宋_GB2312" w:hAnsi="宋体"/>
          <w:szCs w:val="28"/>
        </w:rPr>
        <w:t>和实践</w:t>
      </w:r>
      <w:r>
        <w:rPr>
          <w:rFonts w:ascii="仿宋_GB2312" w:hAnsi="宋体"/>
          <w:szCs w:val="28"/>
        </w:rPr>
        <w:t>验证情况总结进行起草。</w:t>
      </w:r>
    </w:p>
    <w:p w14:paraId="566106C1">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14:paraId="4AA0F221">
      <w:pPr>
        <w:ind w:firstLine="640"/>
        <w:rPr>
          <w:rFonts w:ascii="仿宋_GB2312" w:hAnsi="宋体"/>
          <w:szCs w:val="28"/>
        </w:rPr>
      </w:pPr>
      <w:r>
        <w:rPr>
          <w:rFonts w:hint="eastAsia" w:ascii="仿宋_GB2312" w:hAnsi="宋体"/>
          <w:szCs w:val="28"/>
        </w:rPr>
        <w:t>本编制工作组承诺本标准内容与各项指标不违反相关法律法规要求，且不低于国家强制性标准、推荐性国家标准和行业标准要求。</w:t>
      </w:r>
    </w:p>
    <w:p w14:paraId="1CCCB1C3">
      <w:pPr>
        <w:ind w:firstLine="640"/>
        <w:rPr>
          <w:rFonts w:ascii="仿宋_GB2312" w:hAnsi="宋体"/>
          <w:szCs w:val="28"/>
        </w:rPr>
      </w:pPr>
      <w:r>
        <w:rPr>
          <w:rFonts w:hint="eastAsia" w:ascii="仿宋_GB2312" w:hAnsi="宋体"/>
          <w:szCs w:val="28"/>
        </w:rPr>
        <w:t>经查询并无与“奶水牛生产性能测定管理规范”相关的标准。与“奶水牛生产性能测定”“牛生产性能测定”有关的标准主要有：《DB65/T 4454-2021  新疆褐牛生产性能测定技术规范》《NY/T 1450-2025  奶牛生产性能测定技术规范》《GB/T 43842-2024  牦牛生产性能测定技术规范》《GB/T 43838-2024  肉牛生产性能测定技术规范》《DB12/T 1309-2024  奶牛生产性能测定技术规范》《DB43/T 2477-2022  湘西黄牛生产性能测定技术规程》《DB65/T 4505-2022  奶牛生产性能测定技术规范》《DB43/T 2178-2021  奶牛生产性能测定技术规范》《NY/T 2766-2015  牦牛生产性能测定技术规范》《T/GXAS 806—2024</w:t>
      </w:r>
      <w:r>
        <w:rPr>
          <w:rFonts w:hint="eastAsia" w:ascii="仿宋_GB2312" w:hAnsi="宋体"/>
          <w:szCs w:val="28"/>
        </w:rPr>
        <w:tab/>
      </w:r>
      <w:r>
        <w:rPr>
          <w:rFonts w:hint="eastAsia" w:ascii="仿宋_GB2312" w:hAnsi="宋体"/>
          <w:szCs w:val="28"/>
        </w:rPr>
        <w:t>奶水牛生产性能测定技术规范》《T/NAASS 114—2024安格斯牛生产性能测定技术规程》《T/NXSLX 0203—2025</w:t>
      </w:r>
      <w:r>
        <w:rPr>
          <w:rFonts w:hint="eastAsia" w:ascii="仿宋_GB2312" w:hAnsi="宋体"/>
          <w:szCs w:val="28"/>
        </w:rPr>
        <w:tab/>
      </w:r>
      <w:r>
        <w:rPr>
          <w:rFonts w:hint="eastAsia" w:ascii="仿宋_GB2312" w:hAnsi="宋体"/>
          <w:szCs w:val="28"/>
        </w:rPr>
        <w:t>奶牛生产性能测定技术规范 第1部分：奶样采集》《T/NXSLX 0204—2025</w:t>
      </w:r>
      <w:r>
        <w:rPr>
          <w:rFonts w:hint="eastAsia" w:ascii="仿宋_GB2312" w:hAnsi="宋体"/>
          <w:szCs w:val="28"/>
        </w:rPr>
        <w:tab/>
      </w:r>
      <w:r>
        <w:rPr>
          <w:rFonts w:hint="eastAsia" w:ascii="仿宋_GB2312" w:hAnsi="宋体"/>
          <w:szCs w:val="28"/>
        </w:rPr>
        <w:t>奶牛生产性能测定技术规范 第2部分：奶样检测》《T/NXSLX 0205—2025 奶牛生产性能测定技术规范 第3部分：实验室管理》。</w:t>
      </w:r>
    </w:p>
    <w:p w14:paraId="1072D743">
      <w:pPr>
        <w:ind w:firstLine="640"/>
        <w:rPr>
          <w:rFonts w:ascii="仿宋_GB2312" w:hAnsi="宋体"/>
          <w:szCs w:val="28"/>
        </w:rPr>
      </w:pPr>
      <w:r>
        <w:rPr>
          <w:rFonts w:hint="eastAsia" w:ascii="仿宋_GB2312" w:hAnsi="宋体"/>
          <w:szCs w:val="28"/>
        </w:rPr>
        <w:t>分析如下：上述标准主要针对新疆褐牛、奶牛、肉牛、牦牛、奶水牛生产性能测定技术的，偏向于对应的测定技术方法，而本标准是针对奶水牛性能测试管理的，包括场户基本条件、牛群要求、测定内容与方法、数据采集与管理、考核评价及记录表格等内容，已有的标准无法指导奶水牛生产性能测定管理，制定团体标准《奶水牛生产性能测定管理规范》具有较大的创新性。</w:t>
      </w:r>
    </w:p>
    <w:p w14:paraId="2B39BD9D">
      <w:pPr>
        <w:autoSpaceDE w:val="0"/>
        <w:autoSpaceDN w:val="0"/>
        <w:adjustRightInd w:val="0"/>
        <w:spacing w:line="560" w:lineRule="exact"/>
        <w:ind w:firstLine="640"/>
        <w:jc w:val="left"/>
        <w:rPr>
          <w:rFonts w:ascii="黑体" w:hAnsi="黑体" w:eastAsia="黑体" w:cs="仿宋_GB2312"/>
          <w:szCs w:val="32"/>
        </w:rPr>
      </w:pPr>
      <w:bookmarkStart w:id="1" w:name="_Toc526940084"/>
      <w:r>
        <w:rPr>
          <w:rFonts w:hint="eastAsia" w:ascii="黑体" w:hAnsi="黑体" w:eastAsia="黑体" w:cs="仿宋_GB2312"/>
          <w:szCs w:val="32"/>
        </w:rPr>
        <w:t>五、</w:t>
      </w:r>
      <w:bookmarkEnd w:id="1"/>
      <w:r>
        <w:rPr>
          <w:rFonts w:hint="eastAsia" w:ascii="黑体" w:hAnsi="黑体" w:eastAsia="黑体" w:cs="仿宋_GB2312"/>
          <w:szCs w:val="32"/>
        </w:rPr>
        <w:t>主要条款的说明</w:t>
      </w:r>
    </w:p>
    <w:p w14:paraId="4A89A742">
      <w:pPr>
        <w:ind w:firstLine="640"/>
        <w:rPr>
          <w:rFonts w:ascii="仿宋_GB2312" w:hAnsi="宋体"/>
          <w:szCs w:val="32"/>
          <w:lang w:val="zh-CN"/>
        </w:rPr>
      </w:pPr>
      <w:r>
        <w:rPr>
          <w:rFonts w:hint="eastAsia" w:ascii="仿宋_GB2312" w:hAnsi="宋体"/>
          <w:szCs w:val="32"/>
          <w:lang w:val="zh-CN"/>
        </w:rPr>
        <w:t>团体标准《奶水牛生产性能测定管理规范》的主要章节内容包括</w:t>
      </w:r>
      <w:r>
        <w:rPr>
          <w:rFonts w:hint="eastAsia" w:ascii="仿宋_GB2312" w:hAnsi="宋体"/>
          <w:szCs w:val="28"/>
        </w:rPr>
        <w:t>术语和定义、参测要求、测定内容与方法、测定流程管理、数据采集与管理、测定结果分析与应用</w:t>
      </w:r>
      <w:r>
        <w:rPr>
          <w:rFonts w:hint="eastAsia" w:ascii="仿宋_GB2312" w:hAnsi="宋体"/>
          <w:szCs w:val="32"/>
          <w:lang w:val="zh-CN"/>
        </w:rPr>
        <w:t>。本文件主要内容及依据来源说明如下：</w:t>
      </w:r>
    </w:p>
    <w:p w14:paraId="53FCB63E">
      <w:pPr>
        <w:ind w:firstLine="640"/>
        <w:rPr>
          <w:rFonts w:ascii="仿宋_GB2312" w:hAnsi="宋体"/>
          <w:szCs w:val="32"/>
          <w:lang w:val="zh-CN"/>
        </w:rPr>
      </w:pPr>
      <w:r>
        <w:rPr>
          <w:rFonts w:hint="eastAsia" w:ascii="仿宋_GB2312" w:hAnsi="宋体"/>
          <w:szCs w:val="32"/>
          <w:lang w:val="zh-CN"/>
        </w:rPr>
        <w:t>广西壮族自治区水牛研究所是全国唯一专门从事水牛研究的省级科研单位，隶属中国农业科学院和广西壮族自治区农业农村厅双重管理，兼具公益一类事业单位属性与产业服务职能，不仅拥有农业部重点实验室、科技部国际科技合作基地等多重高端资质，还是全国最大的良种水牛繁育基地和国家级重点种畜场，其占地100公顷的种畜场存栏水牛900头，涵盖印度摩拉、巴基斯坦尼里/拉菲两大河流型水牛纯种核心群及杂交水牛群，年供种牛200～250头，为技术研究与标准制定提供了稳定且优质的种群支撑。</w:t>
      </w:r>
    </w:p>
    <w:p w14:paraId="1FEE3EFC">
      <w:pPr>
        <w:ind w:firstLine="640"/>
        <w:rPr>
          <w:rFonts w:ascii="仿宋_GB2312" w:hAnsi="宋体"/>
          <w:szCs w:val="32"/>
          <w:lang w:val="zh-CN"/>
        </w:rPr>
      </w:pPr>
      <w:r>
        <w:rPr>
          <w:rFonts w:hint="eastAsia" w:ascii="仿宋_GB2312" w:hAnsi="宋体"/>
          <w:szCs w:val="32"/>
          <w:lang w:val="zh-CN"/>
        </w:rPr>
        <w:t>研究所积累了覆盖全产业链的规模化应用经验，验证了技术规范的可操作性。作为广西奶水牛DHI测定技术的开拓者，研究所联合自治区畜禽品种改良站首次将DHI测定技术应用于奶水牛领域，打破了长期依赖奶牛测定标准的局面，推动奶水牛养殖实现“测奶养牛”的精细化转型，为“奶水牛2.5吨”提质增效工程提供关键技术支撑。通过构建“科研机构+企业+农户”的推广体系，研究所将测定技术下沉至生产一线，在武宣、上思等地联合举办技术培训班，向养殖户系统传授泌乳性能评估、体型外貌评定等实操技术，通过现场演示采样规范、数据记录方法，帮助中小牧场掌握标准化测定流程，相关技术应用后养殖户产奶量平均提升15%以上。依托自身国家级良种水牛繁育基地，研究所对存栏的印度摩拉、巴基斯坦尼里/拉菲等纯种及杂交奶水牛群体开展常态化测定，累计积累了数十万条产奶量、乳成分、系谱及健康指标数据，形成了涵盖不同品种、不同养殖模式的完整数据库，为标准中测定间隔、指标阈值等参数的设定提供了扎实的实践数据支撑。</w:t>
      </w:r>
    </w:p>
    <w:p w14:paraId="1103D56C">
      <w:pPr>
        <w:autoSpaceDE w:val="0"/>
        <w:autoSpaceDN w:val="0"/>
        <w:adjustRightInd w:val="0"/>
        <w:spacing w:line="560" w:lineRule="exact"/>
        <w:ind w:firstLine="640"/>
        <w:jc w:val="left"/>
        <w:rPr>
          <w:rFonts w:ascii="黑体" w:hAnsi="黑体" w:eastAsia="黑体" w:cs="仿宋_GB2312"/>
          <w:szCs w:val="32"/>
        </w:rPr>
      </w:pPr>
      <w:bookmarkStart w:id="2" w:name="_Toc526940086"/>
      <w:r>
        <w:rPr>
          <w:rFonts w:hint="eastAsia" w:ascii="黑体" w:hAnsi="黑体" w:eastAsia="黑体" w:cs="仿宋_GB2312"/>
          <w:szCs w:val="32"/>
        </w:rPr>
        <w:t>（一）术语和定义</w:t>
      </w:r>
    </w:p>
    <w:p w14:paraId="0BDC1B16">
      <w:pPr>
        <w:ind w:firstLine="643"/>
        <w:rPr>
          <w:rFonts w:ascii="仿宋_GB2312" w:hAnsi="宋体"/>
          <w:bCs/>
          <w:szCs w:val="32"/>
        </w:rPr>
      </w:pPr>
      <w:r>
        <w:rPr>
          <w:rFonts w:hint="eastAsia" w:ascii="仿宋_GB2312" w:hAnsi="宋体"/>
          <w:b/>
          <w:bCs/>
          <w:szCs w:val="32"/>
          <w:lang w:val="zh-CN"/>
        </w:rPr>
        <w:t>测定管理</w:t>
      </w:r>
      <w:r>
        <w:rPr>
          <w:rFonts w:hint="eastAsia" w:ascii="仿宋_GB2312" w:hAnsi="宋体"/>
          <w:bCs/>
          <w:szCs w:val="32"/>
          <w:lang w:val="zh-CN"/>
        </w:rPr>
        <w:t>：为统一和规范奶水牛生产性能测定工作，提高测定数据的准确性、可比性和应用价值，明确本标准测定管理的相关内容与操作要求，界定了测定管理的定义为：通过规范奶水牛生产性能测定的前期准备，采样、送样检测要求，数据收集、分析及应用，为奶水牛养殖场提供科学依据，帮助管理者筛选优秀母牛、优化饲养管理方案的管理方式。</w:t>
      </w:r>
    </w:p>
    <w:p w14:paraId="0C9573F0">
      <w:pPr>
        <w:autoSpaceDE w:val="0"/>
        <w:autoSpaceDN w:val="0"/>
        <w:adjustRightInd w:val="0"/>
        <w:spacing w:line="560" w:lineRule="exact"/>
        <w:ind w:firstLine="633" w:firstLineChars="198"/>
        <w:jc w:val="left"/>
        <w:rPr>
          <w:rFonts w:ascii="黑体" w:hAnsi="黑体" w:eastAsia="黑体" w:cs="仿宋_GB2312"/>
          <w:szCs w:val="32"/>
        </w:rPr>
      </w:pPr>
      <w:r>
        <w:rPr>
          <w:rFonts w:hint="eastAsia" w:ascii="黑体" w:hAnsi="黑体" w:eastAsia="黑体" w:cs="仿宋_GB2312"/>
          <w:szCs w:val="32"/>
        </w:rPr>
        <w:t>（二）缩略语</w:t>
      </w:r>
    </w:p>
    <w:p w14:paraId="0630D7A6">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为使本标准技术内容更紧凑、易读，本文件明确了下列缩略语：</w:t>
      </w:r>
    </w:p>
    <w:p w14:paraId="246B493D">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DHI：奶牛牛群改良（Dairy Herd Improvement）</w:t>
      </w:r>
    </w:p>
    <w:p w14:paraId="2DC49193">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BLUP：最佳线性无偏预测（Best Linear Unbiased Prediction）</w:t>
      </w:r>
    </w:p>
    <w:p w14:paraId="456AB704">
      <w:pPr>
        <w:autoSpaceDE w:val="0"/>
        <w:autoSpaceDN w:val="0"/>
        <w:adjustRightInd w:val="0"/>
        <w:spacing w:line="560" w:lineRule="exact"/>
        <w:ind w:firstLine="633" w:firstLineChars="198"/>
        <w:jc w:val="left"/>
        <w:rPr>
          <w:rFonts w:hint="eastAsia" w:ascii="黑体" w:hAnsi="黑体" w:eastAsia="黑体" w:cs="仿宋_GB2312"/>
          <w:szCs w:val="32"/>
        </w:rPr>
      </w:pPr>
      <w:r>
        <w:rPr>
          <w:rFonts w:hint="eastAsia" w:ascii="黑体" w:hAnsi="黑体" w:eastAsia="黑体" w:cs="仿宋_GB2312"/>
          <w:szCs w:val="32"/>
        </w:rPr>
        <w:t>（三）参测要求</w:t>
      </w:r>
    </w:p>
    <w:p w14:paraId="7C6C5418">
      <w:pPr>
        <w:autoSpaceDE w:val="0"/>
        <w:autoSpaceDN w:val="0"/>
        <w:adjustRightInd w:val="0"/>
        <w:spacing w:line="560" w:lineRule="exact"/>
        <w:ind w:firstLine="633" w:firstLineChars="198"/>
        <w:jc w:val="left"/>
        <w:rPr>
          <w:rFonts w:hint="eastAsia" w:ascii="仿宋_GB2312" w:hAnsi="宋体"/>
          <w:szCs w:val="28"/>
        </w:rPr>
      </w:pPr>
      <w:r>
        <w:rPr>
          <w:rFonts w:ascii="仿宋_GB2312" w:hAnsi="宋体"/>
          <w:szCs w:val="28"/>
        </w:rPr>
        <w:t>主要依据结合广西及南方地区奶水牛养殖实际，并充分吸纳了编制团队在奶水牛生长发育、体尺体重相关性、乳房性状、体细胞数与乳成分关系等方面的前期研究成果</w:t>
      </w:r>
      <w:r>
        <w:rPr>
          <w:rFonts w:hint="eastAsia" w:ascii="仿宋_GB2312" w:hAnsi="宋体"/>
          <w:szCs w:val="28"/>
        </w:rPr>
        <w:t>进行总结确定。</w:t>
      </w:r>
    </w:p>
    <w:p w14:paraId="5D1D91A7">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人员是测定工作的执行主体，其专业素养直接影响数据的采集质量与后续应用效果。本部分要求配备专职或兼职测定技术员并通过自治区级DHI培训考核，主要依据在于DHI（牛群改良）是奶水牛性能测定的核心技术体系。团队在《奶水牛乳中体细胞数与乳成分的相关分析》等研究中多次使用DHI数据评价牛群生产性能和健康状况，表明操作人员需具备DHI系统的操作与数据解读能力，数据的准确采集与电子化整理是保证研究质量的前提。</w:t>
      </w:r>
    </w:p>
    <w:p w14:paraId="66F94B05">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设施设备是测定工作顺利开展的物质基础，其完备程度直接关系到测定结果的准确性。本部分从挤奶与采样设备、样品保存设施、体尺测量设备、环境保障设施四个方面提出要求。在挤奶与采样设备方面，由于测定内容涵盖日产乳量及乳成分，采样设备与挤奶设施的规范化是保证样品代表性的关键；在样品保存设施方面，标准要求设置专用采样室、配备冷藏柜、离心机及采样瓶清洗消毒设施，确保样品在保存和运输过程中的稳定性。在体尺测量设备方面，标准要求配备牛只通道、地磅、保定架、电子耳标识别系统，研究表明设备精度与稳定性对数据质量具有重要影响。；在环境保障设施方面，要求配备粪污无害化处理设施及病牛隔离圈，这是规模化养殖场的基本要求，目的在于保障动物健康与环境卫生，间接确保测定数据的稳定性和代表性。</w:t>
      </w:r>
    </w:p>
    <w:p w14:paraId="5F1BB4D4">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参测牛群的健康水平和遗传背景是测定数据科学性的重要基础。本部分从牛群规模、系谱完整性、生产性能指标、繁殖与健康状况四个方面设置要求。在牛群规模与系谱完整性方面，标准要求基础母牛100头以上、核心测定群50头以上，且系谱档案完整、三代以上可查，这一要求的依据在于遗传评估是测定结果应用的核心环节，团队在《奶水牛乳房线性性状主成分分析研究》和《奶水牛体尺性状与乳房性状间的典型相关分析》等研究中，均强调系谱完整性对BLUP遗传评估的重要性，三代以上系谱可保障遗传评估的准确性和育种值估计的可靠性。在生产性能指标方面，标准要求胎次不超过7胎、乳脂率不低于6.5%、乳蛋白率不低于4.0%。团队在《奶水牛乳中体细胞数与乳成分的相关分析》中测得健康奶水牛乳脂率可达7.31%～8.17%，乳蛋白率达4.23%以上，同时研究指出高体细胞数时乳成分明显下降。因此，设定此标准可有效筛选健康、高产、适宜继续测定的参测牛群，避免因牛只个体状态不佳而导致测定数据失真。在繁殖与健康状况方面，标准要求近12个月繁殖成活率不低于90%，且无重大传染病记录，稳定的繁殖性能和健康状态是保证测定数据连续性的基础，也是避免疾病干扰测定结果的前提条件。</w:t>
      </w:r>
    </w:p>
    <w:p w14:paraId="66F35CD6">
      <w:pPr>
        <w:autoSpaceDE w:val="0"/>
        <w:autoSpaceDN w:val="0"/>
        <w:adjustRightInd w:val="0"/>
        <w:spacing w:line="560" w:lineRule="exact"/>
        <w:ind w:firstLine="633" w:firstLineChars="198"/>
        <w:jc w:val="left"/>
        <w:rPr>
          <w:rFonts w:hint="eastAsia" w:ascii="黑体" w:hAnsi="黑体" w:eastAsia="黑体" w:cs="仿宋_GB2312"/>
          <w:szCs w:val="32"/>
        </w:rPr>
      </w:pPr>
      <w:r>
        <w:rPr>
          <w:rFonts w:hint="eastAsia" w:ascii="黑体" w:hAnsi="黑体" w:eastAsia="黑体" w:cs="仿宋_GB2312"/>
          <w:szCs w:val="32"/>
        </w:rPr>
        <w:t>（四）测定内容及方法</w:t>
      </w:r>
    </w:p>
    <w:p w14:paraId="0A832F62">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规定了测定内容和测定方法，测定内容包括日产乳量、乳脂肪、乳蛋白、乳糖、体细胞数、尿素氮测定和体型线性评定。主要按照团队前期制定的团体标准《T/GXAS 806  奶水牛生产性能测定技术规范》中“5.1 测定指标”进行，并在此基础上增加了体型线性评定的内容，因为体型结构直接影响奶水牛的生产性能、繁殖能力和使用年限，将体型线性评定纳入测定内容，是奶水牛遗传改良工作的必要环节。</w:t>
      </w:r>
      <w:r>
        <w:rPr>
          <w:rFonts w:ascii="仿宋_GB2312" w:hAnsi="宋体"/>
          <w:szCs w:val="28"/>
        </w:rPr>
        <w:t>在测定方法上严格引用已发布实施的相关技术标准，确保测定工作的规范化和标准化</w:t>
      </w:r>
      <w:r>
        <w:rPr>
          <w:rFonts w:hint="eastAsia" w:ascii="仿宋_GB2312" w:hAnsi="宋体"/>
          <w:szCs w:val="28"/>
        </w:rPr>
        <w:t>。</w:t>
      </w:r>
    </w:p>
    <w:p w14:paraId="6CD4D9E9">
      <w:pPr>
        <w:autoSpaceDE w:val="0"/>
        <w:autoSpaceDN w:val="0"/>
        <w:adjustRightInd w:val="0"/>
        <w:spacing w:line="560" w:lineRule="exact"/>
        <w:ind w:firstLine="633" w:firstLineChars="198"/>
        <w:jc w:val="left"/>
        <w:rPr>
          <w:rFonts w:hint="eastAsia" w:ascii="仿宋_GB2312" w:hAnsi="宋体"/>
          <w:szCs w:val="28"/>
        </w:rPr>
      </w:pPr>
      <w:r>
        <w:rPr>
          <w:rFonts w:hint="eastAsia" w:ascii="黑体" w:hAnsi="黑体" w:eastAsia="黑体" w:cs="仿宋_GB2312"/>
          <w:szCs w:val="32"/>
        </w:rPr>
        <w:t>（五）测定流程管理</w:t>
      </w:r>
    </w:p>
    <w:p w14:paraId="62BD65F5">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测定流程管理是连接测定准备与数据应用的关键环节，其规范程度直接决定测定数据的准确性、完整性和可追溯性。主要从测定计划制定、采样前准备、采样要求、样品保存与运输、实验室检测五个环节构建闭环管理流程，条款内容设置主要结合团队在奶水牛生产性能测定实践中积累的经验进行总结明确。</w:t>
      </w:r>
    </w:p>
    <w:p w14:paraId="06E6C7D7">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测定计划制定</w:t>
      </w:r>
      <w:r>
        <w:rPr>
          <w:rFonts w:hint="eastAsia" w:ascii="仿宋_GB2312" w:hAnsi="宋体"/>
          <w:szCs w:val="28"/>
        </w:rPr>
        <w:t>：测定计划的制定在于明确测定目标、规范测定频率、合理安排资源。规定了应根据牛场生产情况和测定目标，制定年度或季度测定计划，明确测定周期、采样频率、样本数量，并要求与牛场负责人沟通确认，提前告知技术员做好准备，因为生产性能测定是一项系统工程，需要统筹安排，明确测定计划是确保数据连续性和可比性的前提条件。</w:t>
      </w:r>
    </w:p>
    <w:p w14:paraId="1378A760">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采样前准备</w:t>
      </w:r>
      <w:r>
        <w:rPr>
          <w:rFonts w:hint="eastAsia" w:ascii="仿宋_GB2312" w:hAnsi="宋体"/>
          <w:szCs w:val="28"/>
        </w:rPr>
        <w:t>：规定了采样前核实牛场基本信息（包括牛场名称、地址、存栏规模、牛只品种等），确保牛场具备合法经营资质和完善的养殖管理档案；同时要求准备经消毒的采样瓶、流量计、采样记录表等设备和材料，确保采样工具清洁无污染、防腐剂有效；采样人员应经过培训，熟悉采样操作规范。主要基于以下考虑：首先，牛场基本信息的核实是数据可追溯性的基础；其次，采样工具的清洁和防腐剂的有效性直接影响样品检测结果的准确性。该研究采用FOSS体细胞仪等专业设备进行测定，要求在采样环节即保证样品的原始状态不受破坏。再次，采样人员培训是操作规范化的保障。</w:t>
      </w:r>
    </w:p>
    <w:p w14:paraId="0A978516">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采样要求</w:t>
      </w:r>
      <w:r>
        <w:rPr>
          <w:rFonts w:hint="eastAsia" w:ascii="仿宋_GB2312" w:hAnsi="宋体"/>
          <w:szCs w:val="28"/>
        </w:rPr>
        <w:t>：规定了采样对象应为参测牛群中符合测定要求的奶水牛，采样采用一次性采样方式，按T/GXAS 806的规定执行，采样时应详细记录采样日期、牛只编号、胎次、泌乳天数等信息。主要基于以下考虑：首先，采样对象需符合测定要求，确保参测牛只具备代表性。其次，一次性采样方式可避免交叉污染和样品变质；再次，采样信息的详细记录是数据分析和应用的基础，明确记录采样时间、牛只信息、泌乳阶段等关键参数，为分析体细胞数与乳成分的相关性提供了完整的数据支撑。研究显示，泌乳早期能量负平衡、胎次、挤奶次数等因素均可能引起体细胞数升高，因此胎次、泌乳天数等信息的记录对于正确解读测定结果至关重要。</w:t>
      </w:r>
    </w:p>
    <w:p w14:paraId="10E15FDB">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样品保存与运输</w:t>
      </w:r>
      <w:r>
        <w:rPr>
          <w:rFonts w:hint="eastAsia" w:ascii="仿宋_GB2312" w:hAnsi="宋体"/>
          <w:szCs w:val="28"/>
        </w:rPr>
        <w:t>：规定了乳样采集后应立即置于（4±1）℃的冷藏条件下保存，样品应在72h内送达测定实验室，运输过程中应保持冷藏状态，不应剧烈震荡。主要按照团队前期制定的团体标准《T/GXAS 806  奶水牛生产性能测定技术规范》中“7 乳样保存、运输和接受”的规定进行。</w:t>
      </w:r>
    </w:p>
    <w:p w14:paraId="7DA9D00C">
      <w:pPr>
        <w:ind w:firstLine="0" w:firstLineChars="0"/>
        <w:jc w:val="center"/>
        <w:rPr>
          <w:rFonts w:hint="eastAsia" w:ascii="仿宋_GB2312" w:hAnsi="宋体"/>
          <w:szCs w:val="28"/>
        </w:rPr>
      </w:pPr>
      <w:r>
        <w:drawing>
          <wp:inline distT="0" distB="0" distL="0" distR="0">
            <wp:extent cx="5486400" cy="589280"/>
            <wp:effectExtent l="19050" t="19050" r="19050" b="203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486400" cy="589280"/>
                    </a:xfrm>
                    <a:prstGeom prst="rect">
                      <a:avLst/>
                    </a:prstGeom>
                    <a:ln>
                      <a:solidFill>
                        <a:schemeClr val="tx1"/>
                      </a:solidFill>
                    </a:ln>
                  </pic:spPr>
                </pic:pic>
              </a:graphicData>
            </a:graphic>
          </wp:inline>
        </w:drawing>
      </w:r>
    </w:p>
    <w:p w14:paraId="3ACF24BF">
      <w:pPr>
        <w:ind w:firstLine="0" w:firstLineChars="0"/>
        <w:jc w:val="center"/>
        <w:rPr>
          <w:rFonts w:hint="eastAsia" w:ascii="仿宋_GB2312" w:hAnsi="宋体"/>
          <w:szCs w:val="28"/>
        </w:rPr>
      </w:pPr>
      <w:r>
        <w:rPr>
          <w:rFonts w:hint="eastAsia" w:ascii="仿宋_GB2312" w:hAnsi="宋体"/>
          <w:szCs w:val="28"/>
        </w:rPr>
        <w:t>来源：T/GXAS 806，7</w:t>
      </w:r>
    </w:p>
    <w:p w14:paraId="21ADE933">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实验室检测</w:t>
      </w:r>
      <w:r>
        <w:rPr>
          <w:rFonts w:hint="eastAsia" w:ascii="仿宋_GB2312" w:hAnsi="宋体"/>
          <w:szCs w:val="28"/>
        </w:rPr>
        <w:t>：规定了实验室接收样品时，应核对采样记录表和奶样信息是否一致，检查样品是否有损坏、变质或污染等情况，发现问题应及时与牛场沟通确认。样品质量检查是防止劣质样品进入检测环节的重要屏障，发现问题及时与牛场沟通，既体现了服务意识，也为牛场改进采样操作提供了反馈渠道。</w:t>
      </w:r>
    </w:p>
    <w:p w14:paraId="40FB1407">
      <w:pPr>
        <w:autoSpaceDE w:val="0"/>
        <w:autoSpaceDN w:val="0"/>
        <w:adjustRightInd w:val="0"/>
        <w:spacing w:line="560" w:lineRule="exact"/>
        <w:ind w:firstLine="633" w:firstLineChars="198"/>
        <w:jc w:val="left"/>
        <w:rPr>
          <w:rFonts w:hint="eastAsia" w:ascii="黑体" w:hAnsi="黑体" w:eastAsia="黑体" w:cs="仿宋_GB2312"/>
          <w:szCs w:val="32"/>
        </w:rPr>
      </w:pPr>
      <w:r>
        <w:rPr>
          <w:rFonts w:hint="eastAsia" w:ascii="黑体" w:hAnsi="黑体" w:eastAsia="黑体" w:cs="仿宋_GB2312"/>
          <w:szCs w:val="32"/>
        </w:rPr>
        <w:t>（六）数据采集与管理</w:t>
      </w:r>
    </w:p>
    <w:p w14:paraId="0FFAFE80">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主要从数据采集内容、数据记录要求、数据质量控制三个方面进行规定，结合团队在奶水牛生产性能测定、体尺体重相关性分析、乳房性状研究等领域积累的实践经验进行总结明确。</w:t>
      </w:r>
    </w:p>
    <w:p w14:paraId="4C607EEC">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1、数据采集内容</w:t>
      </w:r>
    </w:p>
    <w:p w14:paraId="7AEC993B">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规定了采集的数据主要包括生产性能、体型线性评定、繁殖育种、疫病防治、核心群调整、生产投入品、无害化处理等七大类信息。</w:t>
      </w:r>
      <w:r>
        <w:rPr>
          <w:rFonts w:hint="eastAsia" w:ascii="仿宋_GB2312" w:hAnsi="宋体"/>
          <w:b/>
          <w:szCs w:val="28"/>
        </w:rPr>
        <w:t>生产性能数据</w:t>
      </w:r>
      <w:r>
        <w:rPr>
          <w:rFonts w:hint="eastAsia" w:ascii="仿宋_GB2312" w:hAnsi="宋体"/>
          <w:szCs w:val="28"/>
        </w:rPr>
        <w:t>的采集是测定管理的核心内容，包括日产奶量、乳脂、乳蛋白、体细胞、尿素氮等指标。团队在《奶水牛乳中体细胞数与乳成分的相关分析》中系统研究了这些指标之间的内在联系，证实体细胞数与乳糖、非脂固形物呈极显著负相关（</w:t>
      </w:r>
      <w:r>
        <w:rPr>
          <w:rFonts w:hint="eastAsia" w:ascii="仿宋_GB2312" w:hAnsi="宋体"/>
          <w:i/>
          <w:szCs w:val="28"/>
        </w:rPr>
        <w:t>P</w:t>
      </w:r>
      <w:r>
        <w:rPr>
          <w:rFonts w:hint="eastAsia" w:ascii="仿宋_GB2312" w:hAnsi="宋体"/>
          <w:szCs w:val="28"/>
        </w:rPr>
        <w:t>&lt;0.01），为生产性能数据的采集提供了科学依据。该研究指出，乳中体细胞数不仅能反映乳房炎状况，还能间接反映泌乳早期能量和蛋白质代谢负平衡程度，因此生产性能数据的完整性对于全面评估牛群健康和生产水平至关重要。</w:t>
      </w:r>
    </w:p>
    <w:p w14:paraId="615F9E02">
      <w:pPr>
        <w:ind w:firstLine="0" w:firstLineChars="0"/>
        <w:jc w:val="center"/>
        <w:rPr>
          <w:rFonts w:hint="eastAsia" w:ascii="仿宋_GB2312" w:hAnsi="宋体"/>
          <w:szCs w:val="28"/>
        </w:rPr>
      </w:pPr>
      <w:r>
        <w:drawing>
          <wp:inline distT="0" distB="0" distL="0" distR="0">
            <wp:extent cx="3752215" cy="4157345"/>
            <wp:effectExtent l="19050" t="19050" r="1968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776560" cy="4183939"/>
                    </a:xfrm>
                    <a:prstGeom prst="rect">
                      <a:avLst/>
                    </a:prstGeom>
                    <a:ln>
                      <a:solidFill>
                        <a:schemeClr val="tx1"/>
                      </a:solidFill>
                    </a:ln>
                  </pic:spPr>
                </pic:pic>
              </a:graphicData>
            </a:graphic>
          </wp:inline>
        </w:drawing>
      </w:r>
    </w:p>
    <w:p w14:paraId="67D715A8">
      <w:pPr>
        <w:ind w:firstLine="0" w:firstLineChars="0"/>
        <w:jc w:val="center"/>
        <w:rPr>
          <w:rFonts w:hint="eastAsia" w:ascii="仿宋_GB2312" w:hAnsi="宋体"/>
          <w:szCs w:val="28"/>
        </w:rPr>
      </w:pPr>
      <w:r>
        <w:rPr>
          <w:rFonts w:hint="eastAsia" w:ascii="仿宋_GB2312" w:hAnsi="宋体"/>
          <w:szCs w:val="28"/>
        </w:rPr>
        <w:t>团队前期研究发表的文章《奶水牛乳中体细胞数与乳成分</w:t>
      </w:r>
    </w:p>
    <w:p w14:paraId="60686D4E">
      <w:pPr>
        <w:ind w:firstLine="0" w:firstLineChars="0"/>
        <w:jc w:val="center"/>
        <w:rPr>
          <w:rFonts w:ascii="仿宋_GB2312" w:hAnsi="宋体"/>
          <w:szCs w:val="28"/>
        </w:rPr>
      </w:pPr>
      <w:r>
        <w:rPr>
          <w:rFonts w:hint="eastAsia" w:ascii="仿宋_GB2312" w:hAnsi="宋体"/>
          <w:szCs w:val="28"/>
        </w:rPr>
        <w:t>的相关分析》</w:t>
      </w:r>
    </w:p>
    <w:p w14:paraId="774304DD">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体型线性评定数据</w:t>
      </w:r>
      <w:r>
        <w:rPr>
          <w:rFonts w:hint="eastAsia" w:ascii="仿宋_GB2312" w:hAnsi="宋体"/>
          <w:szCs w:val="28"/>
        </w:rPr>
        <w:t>的采集包括体高、胸深、体深、体斜长、棱角性、髋节距离、尻长、尻宽、尻角度、腰脚间距、蹄角度、蹄踵深度、后肢侧视、前乳房高度、前乳头位置、后乳房高度、后乳房深度、后乳腺深度、后乳房宽度和后乳头位置等20项指标。这一指标体系的设置，源于团队对体型性状与生产性能关系的深入研究。</w:t>
      </w:r>
    </w:p>
    <w:p w14:paraId="30FC5C1A">
      <w:pPr>
        <w:ind w:firstLine="640"/>
        <w:jc w:val="center"/>
        <w:rPr>
          <w:rFonts w:hint="eastAsia" w:ascii="仿宋_GB2312" w:hAnsi="宋体"/>
          <w:szCs w:val="28"/>
        </w:rPr>
      </w:pPr>
      <w:r>
        <w:drawing>
          <wp:inline distT="0" distB="0" distL="0" distR="0">
            <wp:extent cx="2583180" cy="3506470"/>
            <wp:effectExtent l="19050" t="19050" r="26670"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2596555" cy="3524566"/>
                    </a:xfrm>
                    <a:prstGeom prst="rect">
                      <a:avLst/>
                    </a:prstGeom>
                    <a:ln>
                      <a:solidFill>
                        <a:schemeClr val="tx1"/>
                      </a:solidFill>
                    </a:ln>
                  </pic:spPr>
                </pic:pic>
              </a:graphicData>
            </a:graphic>
          </wp:inline>
        </w:drawing>
      </w:r>
      <w:r>
        <w:t xml:space="preserve"> </w:t>
      </w:r>
      <w:r>
        <w:drawing>
          <wp:inline distT="0" distB="0" distL="0" distR="0">
            <wp:extent cx="2477135" cy="3522980"/>
            <wp:effectExtent l="19050" t="19050" r="18415" b="203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2477738" cy="3523321"/>
                    </a:xfrm>
                    <a:prstGeom prst="rect">
                      <a:avLst/>
                    </a:prstGeom>
                    <a:ln>
                      <a:solidFill>
                        <a:schemeClr val="tx1"/>
                      </a:solidFill>
                    </a:ln>
                  </pic:spPr>
                </pic:pic>
              </a:graphicData>
            </a:graphic>
          </wp:inline>
        </w:drawing>
      </w:r>
    </w:p>
    <w:p w14:paraId="3DC203A5">
      <w:pPr>
        <w:ind w:firstLine="0" w:firstLineChars="0"/>
        <w:jc w:val="center"/>
        <w:rPr>
          <w:rFonts w:hint="eastAsia" w:ascii="仿宋_GB2312" w:hAnsi="宋体"/>
          <w:szCs w:val="28"/>
        </w:rPr>
      </w:pPr>
      <w:r>
        <w:rPr>
          <w:rFonts w:hint="eastAsia" w:ascii="仿宋_GB2312" w:hAnsi="宋体"/>
          <w:szCs w:val="28"/>
        </w:rPr>
        <w:t>团队前期研究发表的文章《奶水牛体尺性状与乳房性状间的典型相关分析》《奶水牛乳房线性性状主成分分析研究》</w:t>
      </w:r>
    </w:p>
    <w:p w14:paraId="7CBFE40B">
      <w:pPr>
        <w:ind w:firstLine="0" w:firstLineChars="0"/>
        <w:jc w:val="center"/>
        <w:rPr>
          <w:rFonts w:ascii="仿宋_GB2312" w:hAnsi="宋体"/>
          <w:szCs w:val="28"/>
        </w:rPr>
      </w:pPr>
      <w:r>
        <w:rPr>
          <w:rFonts w:hint="eastAsia" w:ascii="仿宋_GB2312" w:hAnsi="宋体"/>
          <w:szCs w:val="28"/>
        </w:rPr>
        <w:t>此外，在《奶水牛体尺性状与乳房性状间的典型相关分析》中，团队通过典型相关分析发现，体尺性状与乳房性状间的第1个典型相关系数达到0.7414（</w:t>
      </w:r>
      <w:r>
        <w:rPr>
          <w:rFonts w:hint="eastAsia" w:ascii="仿宋_GB2312" w:hAnsi="宋体"/>
          <w:i/>
          <w:szCs w:val="28"/>
        </w:rPr>
        <w:t>P</w:t>
      </w:r>
      <w:r>
        <w:rPr>
          <w:rFonts w:hint="eastAsia" w:ascii="仿宋_GB2312" w:hAnsi="宋体"/>
          <w:szCs w:val="28"/>
        </w:rPr>
        <w:t>&lt;0.01），占信息总量的57.31%，其中体躯指数、臀端宽、乳头左右间距和乳房高度起主要作用。这表明体型数据的采集对于间接选育乳房性状、提高产奶性能具有重要价值。此外，在《奶水牛乳房线性性状主成分分析研究》中，团队通过对乳头左右间距、乳头前后间距、乳头交叉间距、乳头长、后乳房宽、乳房深度、乳房高度和前乳房附着度等8个乳房线性性状进行主成分分析，成功将指标简化为3个主成分（占信息总量62.68%），筛选出乳头左右间距、乳头交叉间距、乳头长度和乳房深度作为代表性性状指标。这一研究为体型线性评定指标的选取提供了科学依据，避免了指标准过多带来的测定负担。</w:t>
      </w:r>
    </w:p>
    <w:p w14:paraId="40BDFE83">
      <w:pPr>
        <w:autoSpaceDE w:val="0"/>
        <w:autoSpaceDN w:val="0"/>
        <w:adjustRightInd w:val="0"/>
        <w:spacing w:line="560" w:lineRule="exact"/>
        <w:ind w:firstLine="636" w:firstLineChars="198"/>
        <w:jc w:val="left"/>
        <w:rPr>
          <w:rFonts w:hint="eastAsia" w:ascii="仿宋_GB2312" w:hAnsi="宋体"/>
          <w:szCs w:val="28"/>
        </w:rPr>
      </w:pPr>
      <w:r>
        <w:rPr>
          <w:rFonts w:hint="eastAsia" w:ascii="仿宋_GB2312" w:hAnsi="宋体"/>
          <w:b/>
          <w:szCs w:val="28"/>
        </w:rPr>
        <w:t>繁殖育种数据</w:t>
      </w:r>
      <w:r>
        <w:rPr>
          <w:rFonts w:hint="eastAsia" w:ascii="仿宋_GB2312" w:hAnsi="宋体"/>
          <w:szCs w:val="28"/>
        </w:rPr>
        <w:t>的采集包括发情、配种、公牛耳标/冻精细管号、妊检、产犊难易和犊牛信息等，繁殖育种数据的完整记录，是实现遗传评估和核心群动态调整的基础。</w:t>
      </w:r>
      <w:r>
        <w:rPr>
          <w:rFonts w:hint="eastAsia" w:ascii="仿宋_GB2312" w:hAnsi="宋体"/>
          <w:b/>
          <w:szCs w:val="28"/>
        </w:rPr>
        <w:t>疫病防治数据</w:t>
      </w:r>
      <w:r>
        <w:rPr>
          <w:rFonts w:hint="eastAsia" w:ascii="仿宋_GB2312" w:hAnsi="宋体"/>
          <w:szCs w:val="28"/>
        </w:rPr>
        <w:t>的采集包括诊疗、用药休药期和转归等信息，疫病防治数据的记录对于追溯体细胞数异常原因、评估防治效果具有重要意义。休药期的记录则确保了测定数据不受药物残留干扰，同时也保障了乳品安全。</w:t>
      </w:r>
      <w:r>
        <w:rPr>
          <w:rFonts w:hint="eastAsia" w:ascii="仿宋_GB2312" w:hAnsi="宋体"/>
          <w:b/>
          <w:szCs w:val="28"/>
        </w:rPr>
        <w:t>核心群调整数据</w:t>
      </w:r>
      <w:r>
        <w:rPr>
          <w:rFonts w:hint="eastAsia" w:ascii="仿宋_GB2312" w:hAnsi="宋体"/>
          <w:szCs w:val="28"/>
        </w:rPr>
        <w:t>的采集包括划入或划出核心群的记录，这是实现牛群遗传改良的动态管理措施。团队在《</w:t>
      </w:r>
      <w:r>
        <w:rPr>
          <w:rFonts w:ascii="仿宋_GB2312" w:hAnsi="宋体"/>
          <w:szCs w:val="28"/>
        </w:rPr>
        <w:t>6</w:t>
      </w:r>
      <w:r>
        <w:rPr>
          <w:rFonts w:hint="eastAsia" w:ascii="仿宋_GB2312" w:hAnsi="宋体"/>
          <w:szCs w:val="28"/>
        </w:rPr>
        <w:t>月龄摩拉水牛体重与体尺指标的相关性分析》中建立的最优回归方程（公水牛</w:t>
      </w:r>
      <w:r>
        <w:rPr>
          <w:rFonts w:ascii="仿宋_GB2312" w:hAnsi="宋体"/>
          <w:szCs w:val="28"/>
        </w:rPr>
        <w:t>R</w:t>
      </w:r>
      <w:r>
        <w:rPr>
          <w:rFonts w:hint="eastAsia" w:ascii="仿宋_GB2312" w:hAnsi="宋体"/>
          <w:szCs w:val="28"/>
        </w:rPr>
        <w:t>²</w:t>
      </w:r>
      <w:r>
        <w:rPr>
          <w:rFonts w:ascii="仿宋_GB2312" w:hAnsi="宋体"/>
          <w:szCs w:val="28"/>
        </w:rPr>
        <w:t>=0.739</w:t>
      </w:r>
      <w:r>
        <w:rPr>
          <w:rFonts w:hint="eastAsia" w:ascii="仿宋_GB2312" w:hAnsi="宋体"/>
          <w:szCs w:val="28"/>
        </w:rPr>
        <w:t>，母水牛</w:t>
      </w:r>
      <w:r>
        <w:rPr>
          <w:rFonts w:ascii="仿宋_GB2312" w:hAnsi="宋体"/>
          <w:szCs w:val="28"/>
        </w:rPr>
        <w:t>R</w:t>
      </w:r>
      <w:r>
        <w:rPr>
          <w:rFonts w:hint="eastAsia" w:ascii="仿宋_GB2312" w:hAnsi="宋体"/>
          <w:szCs w:val="28"/>
        </w:rPr>
        <w:t>²</w:t>
      </w:r>
      <w:r>
        <w:rPr>
          <w:rFonts w:ascii="仿宋_GB2312" w:hAnsi="宋体"/>
          <w:szCs w:val="28"/>
        </w:rPr>
        <w:t>=0.704</w:t>
      </w:r>
      <w:r>
        <w:rPr>
          <w:rFonts w:hint="eastAsia" w:ascii="仿宋_GB2312" w:hAnsi="宋体"/>
          <w:szCs w:val="28"/>
        </w:rPr>
        <w:t>），为早期筛选优秀个体提供了量化依据。核心群调整数据的规范记录，确保了选育过程的科学性和可追溯性。</w:t>
      </w:r>
      <w:r>
        <w:rPr>
          <w:rFonts w:hint="eastAsia" w:ascii="仿宋_GB2312" w:hAnsi="宋体"/>
          <w:b/>
          <w:szCs w:val="28"/>
        </w:rPr>
        <w:t>生产投入品及无害化处理数据</w:t>
      </w:r>
      <w:r>
        <w:rPr>
          <w:rFonts w:hint="eastAsia" w:ascii="仿宋_GB2312" w:hAnsi="宋体"/>
          <w:szCs w:val="28"/>
        </w:rPr>
        <w:t>的采集是养殖管理规范化的体现。投入品记录涉及耳标、饲草料、添加剂、兽药和疫苗等，无害化处理记录涉及病死牛、胎衣、不合格牛奶等，这是规模化养殖场规范管理的基本要求，也是实现质量安全追溯的重要环节。</w:t>
      </w:r>
    </w:p>
    <w:p w14:paraId="75539924">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2、数据记录要求</w:t>
      </w:r>
    </w:p>
    <w:p w14:paraId="70FA3661">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数据记录是确保信息可追溯、可核对、可利用的关键环节。主要从身份标识、记录规范和录入管理三个方面进行规定。身份标识的唯一性要求规定所有参测牛只应具有唯一身份标识，给出了皮下埋置电子标签或外挂耳标的两种编码方式：外挂耳标按照“畜种+县区+养殖户编号+出生年号+个体编号”共十五位编码，皮下埋置电子标签按照“品种编号+地区编号+个体编号”共十五位编码。这一编码体系确保了每一头参测牛只在全国范围内的唯一识别，为跨场区数据共享和遗传评估奠定了基础。此外，还结合团队前期测定管理的经验，给出了奶水牛配种繁殖记录表、健康与诊疗记录表、核心群调整记录表、投入品使用记录表、无害化处理记录表等表格样式，确保数据的一致性和可比性。录入管理的要求规定数据应及时录入《奶水牛管理信息采集表》或相应的电子管理系统，电子数据应永久保存，定期备份，确保了数据的长期可用性和安全性，为遗传评估的持续进行提供了保障。</w:t>
      </w:r>
    </w:p>
    <w:p w14:paraId="0B65EF27">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3、数据质量控制</w:t>
      </w:r>
    </w:p>
    <w:p w14:paraId="19F320F4">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数据质量控制是确保测定结果真实可靠的重要保障。标准从数据审核、异常处理、人员培训三个方面提出要求。数据审核的要求规定应定期对采集的数据进行审核，发现异常值或缺失项应及时核实并补充，如果没有严格的数据审核，异常值可能误导统计分析结果。异常处理的要求规定对于连续测定结果异常或不符合要求的牛只，应分析原因，必要时重新测定。对于体细胞数持续偏高的牛只，需要分析是否存在乳房炎、营养代谢负平衡等问题，必要时重新测定以确认结果的真实性。对于体型评定或生产性能数据连续异常的个体，同样需要分析原因，可能是测定误差，也可能是牛只本身存在问题，需要进一步核实。人员培训的要求规定数据管理人员应经过培训，掌握数据质量控制方法。通过培训，确保数据管理人员具备必要的专业素养，为数据质量的持续提升提供人才保障。</w:t>
      </w:r>
    </w:p>
    <w:p w14:paraId="6C733A31">
      <w:pPr>
        <w:autoSpaceDE w:val="0"/>
        <w:autoSpaceDN w:val="0"/>
        <w:adjustRightInd w:val="0"/>
        <w:spacing w:line="560" w:lineRule="exact"/>
        <w:ind w:firstLine="633" w:firstLineChars="198"/>
        <w:jc w:val="left"/>
        <w:rPr>
          <w:rFonts w:hint="eastAsia" w:ascii="黑体" w:hAnsi="黑体" w:eastAsia="黑体" w:cs="仿宋_GB2312"/>
          <w:szCs w:val="32"/>
        </w:rPr>
      </w:pPr>
      <w:r>
        <w:rPr>
          <w:rFonts w:hint="eastAsia" w:ascii="黑体" w:hAnsi="黑体" w:eastAsia="黑体" w:cs="仿宋_GB2312"/>
          <w:szCs w:val="32"/>
        </w:rPr>
        <w:t>（七）测定结果分析与应用</w:t>
      </w:r>
    </w:p>
    <w:p w14:paraId="416B0A69">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测定工作的最终目的是通过数据分析指导生产实践，实现牛群遗传改良和饲养管理的优化。因此，结合团队在遗传评估、体尺体重相关性分析、乳房性状与生产性能关系等领域的研究成果，将测定数据转化为可操作的决策依据，帮助养殖场管理者筛选优秀母牛、优化饲养管理方案。</w:t>
      </w:r>
    </w:p>
    <w:p w14:paraId="7DC69F4D">
      <w:pPr>
        <w:autoSpaceDE w:val="0"/>
        <w:autoSpaceDN w:val="0"/>
        <w:adjustRightInd w:val="0"/>
        <w:spacing w:line="560" w:lineRule="exact"/>
        <w:ind w:firstLine="633" w:firstLineChars="198"/>
        <w:jc w:val="left"/>
        <w:rPr>
          <w:rFonts w:hint="eastAsia" w:ascii="仿宋_GB2312" w:hAnsi="黑体" w:cs="仿宋_GB2312"/>
          <w:szCs w:val="32"/>
        </w:rPr>
      </w:pPr>
      <w:r>
        <w:rPr>
          <w:rFonts w:hint="eastAsia" w:ascii="仿宋_GB2312" w:hAnsi="黑体" w:cs="仿宋_GB2312"/>
          <w:szCs w:val="32"/>
        </w:rPr>
        <w:t>1、结果分析</w:t>
      </w:r>
    </w:p>
    <w:p w14:paraId="1686FB9D">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规定了应根据系谱记录完整性（三代以上可查）评估牛只遗传背景，因为系谱信息是遗传评估的基础，系谱记录的完整性直接决定了育种值估计的准确性。还应根据体型线性评定结果对参测母牛进行线性评定等级划分，因为</w:t>
      </w:r>
      <w:r>
        <w:rPr>
          <w:rFonts w:ascii="Segoe UI" w:hAnsi="Segoe UI" w:cs="Segoe UI"/>
          <w:color w:val="0F1115"/>
          <w:shd w:val="clear" w:color="auto" w:fill="FFFFFF"/>
        </w:rPr>
        <w:t>体型结构直接影响奶水牛的生产性能、繁殖能力和使用年限，通过等级划分可以直观反映个体的体型优劣</w:t>
      </w:r>
      <w:r>
        <w:rPr>
          <w:rFonts w:hint="eastAsia" w:ascii="仿宋_GB2312" w:hAnsi="宋体"/>
          <w:szCs w:val="28"/>
        </w:rPr>
        <w:t>。</w:t>
      </w:r>
    </w:p>
    <w:p w14:paraId="111225E5">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团队在《奶水牛乳中体细胞数与乳成分的相关分析》中，对152份泌乳早期乳样进行了系统测定，分析了体细胞数与乳成分的相关性。研究结果表明，体细胞数与乳糖及非脂固形物含量呈极显著负相关（</w:t>
      </w:r>
      <w:r>
        <w:rPr>
          <w:rFonts w:hint="eastAsia" w:ascii="仿宋_GB2312" w:hAnsi="宋体"/>
          <w:i/>
          <w:szCs w:val="28"/>
        </w:rPr>
        <w:t>P</w:t>
      </w:r>
      <w:r>
        <w:rPr>
          <w:rFonts w:hint="eastAsia" w:ascii="仿宋_GB2312" w:hAnsi="宋体"/>
          <w:szCs w:val="28"/>
        </w:rPr>
        <w:t>&lt;0.01），当体细胞数大于100万个/mL时，乳糖含量降至4.46%、非脂固形物降至8.43%，显著低于正常水平。这一研究证实，通过DHI报告中的体细胞数变化趋势，可以及时发现乳房炎风险；通过乳成分变化趋势，可以评估牛群营养代谢状况。例如，泌乳早期乳脂异常升高可能提示能量负平衡，乳蛋白下降可能提示蛋白质供给不足。因此，DHI报告的趋势分析不仅是生产性能评价的工具，更是牛群健康管理和营养调控的重要依据。因此，应采用DHI报告对产奶量、乳成分、体细胞数等指标进行趋势分析，评价牛群生产性能和健康状况。还可应用BLUP法等遗传评估方法，估计育种值，为选种选配提供依据。</w:t>
      </w:r>
    </w:p>
    <w:p w14:paraId="6D44474B">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此外，</w:t>
      </w:r>
      <w:r>
        <w:rPr>
          <w:rFonts w:ascii="Segoe UI" w:hAnsi="Segoe UI" w:cs="Segoe UI"/>
          <w:color w:val="0F1115"/>
          <w:shd w:val="clear" w:color="auto" w:fill="FFFFFF"/>
        </w:rPr>
        <w:t>团队在《奶水牛乳中体细胞数与乳成分的相关分析》中，测定了健康奶水牛的乳成分含量，结果显示乳蛋白含量在3.78%~4.23%之间，乳脂肪含量在6.95%~8.17%之间。其中，健康牛群的乳蛋白含量多在4.0%以上，乳脂肪含量多在7.0%以上。标准中设定的乳蛋白≥4.5%、乳脂肪≥7.5%的选留阈值，是在健康牛群平均水平基础上向上取整，体现了优中选优的原则。连续3次测定的要求，旨在排除单次测定的偶然性，确保选留个体具有稳定优良的生产性能。</w:t>
      </w:r>
      <w:r>
        <w:rPr>
          <w:rFonts w:hint="eastAsia" w:ascii="Segoe UI" w:hAnsi="Segoe UI" w:cs="Segoe UI"/>
          <w:color w:val="0F1115"/>
          <w:shd w:val="clear" w:color="auto" w:fill="FFFFFF"/>
        </w:rPr>
        <w:t>因此，规定了应</w:t>
      </w:r>
      <w:r>
        <w:rPr>
          <w:rFonts w:hint="eastAsia" w:ascii="仿宋_GB2312" w:hAnsi="宋体"/>
          <w:szCs w:val="28"/>
        </w:rPr>
        <w:t>对连续3次DHI测定结果进行分析，若乳蛋白含量≥4.5 g/100 g、乳脂肪含量≥7.5 g/100 g，可作为核心群选留的参考指标。</w:t>
      </w:r>
    </w:p>
    <w:p w14:paraId="2B7FFE9D">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2、结果应用</w:t>
      </w:r>
    </w:p>
    <w:p w14:paraId="45E1EF6B">
      <w:pPr>
        <w:autoSpaceDE w:val="0"/>
        <w:autoSpaceDN w:val="0"/>
        <w:adjustRightInd w:val="0"/>
        <w:spacing w:line="560" w:lineRule="exact"/>
        <w:ind w:firstLine="633" w:firstLineChars="198"/>
        <w:jc w:val="left"/>
        <w:rPr>
          <w:rFonts w:hint="eastAsia" w:ascii="仿宋_GB2312" w:hAnsi="宋体"/>
          <w:szCs w:val="28"/>
        </w:rPr>
      </w:pPr>
      <w:r>
        <w:rPr>
          <w:rFonts w:hint="eastAsia" w:ascii="仿宋_GB2312" w:hAnsi="宋体"/>
          <w:szCs w:val="28"/>
        </w:rPr>
        <w:t>主要从核心群动态调整、选种选配计划优化、饲养管理方案优化三个方向进行明确，核心群调整直接推动遗传改良，选种选配优化指导繁殖决策，饲养管理则是改进提升生产效益。因此规定了应根据测定结果和生产性能，定期调整核心群，将优秀个体划入，不符合标准的个体划出，并记录调整情况。还应根据测定结果和遗传评估，优化选种选配计划，淘汰生产性能低、体细胞数高的个体，提高核心群遗传水平，</w:t>
      </w:r>
      <w:r>
        <w:rPr>
          <w:rFonts w:ascii="Segoe UI" w:hAnsi="Segoe UI" w:cs="Segoe UI"/>
          <w:color w:val="0F1115"/>
          <w:shd w:val="clear" w:color="auto" w:fill="FFFFFF"/>
        </w:rPr>
        <w:t>淘汰生产性能低、体细胞数高的个体，既有助于提高核心群的遗传水平，也有利于降低乳房炎发生率，提升牛群整体健康水平</w:t>
      </w:r>
      <w:r>
        <w:rPr>
          <w:rFonts w:hint="eastAsia" w:ascii="仿宋_GB2312" w:hAnsi="宋体"/>
          <w:szCs w:val="28"/>
        </w:rPr>
        <w:t>。同时，还应根据产奶量和乳成分变化，调整日粮精粗比和营养供给，实施分群饲养；根据体细胞数监测结果，加强乳房炎防控，分群饲养的实施，可以根据不同生产水平和健康状态的牛只提供差异化的营养和管理方案，实现精准管理，提高资源利用效率。</w:t>
      </w:r>
    </w:p>
    <w:p w14:paraId="030AB973">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六、</w:t>
      </w:r>
      <w:bookmarkEnd w:id="2"/>
      <w:r>
        <w:rPr>
          <w:rFonts w:hint="eastAsia" w:ascii="黑体" w:hAnsi="黑体" w:eastAsia="黑体" w:cs="仿宋_GB2312"/>
          <w:szCs w:val="32"/>
        </w:rPr>
        <w:t>重大分歧意见的处理经过和依据</w:t>
      </w:r>
    </w:p>
    <w:p w14:paraId="37BFC508">
      <w:pPr>
        <w:spacing w:line="560" w:lineRule="exact"/>
        <w:ind w:firstLine="640"/>
        <w:rPr>
          <w:rFonts w:ascii="仿宋_GB2312" w:hAnsi="宋体"/>
          <w:szCs w:val="28"/>
        </w:rPr>
      </w:pPr>
      <w:r>
        <w:rPr>
          <w:rFonts w:hint="eastAsia" w:ascii="仿宋_GB2312" w:hAnsi="宋体"/>
          <w:szCs w:val="28"/>
        </w:rPr>
        <w:t>本标准研制过程中无重大分歧意见。</w:t>
      </w:r>
    </w:p>
    <w:p w14:paraId="228E2D87">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七</w:t>
      </w:r>
      <w:r>
        <w:rPr>
          <w:rFonts w:ascii="黑体" w:hAnsi="黑体" w:eastAsia="黑体" w:cs="仿宋_GB2312"/>
          <w:szCs w:val="32"/>
        </w:rPr>
        <w:t>、</w:t>
      </w:r>
      <w:r>
        <w:rPr>
          <w:rFonts w:hint="eastAsia" w:ascii="黑体" w:hAnsi="黑体" w:eastAsia="黑体" w:cs="仿宋_GB2312"/>
          <w:szCs w:val="32"/>
        </w:rPr>
        <w:t>实施标准的措施</w:t>
      </w:r>
    </w:p>
    <w:p w14:paraId="32420F0E">
      <w:pPr>
        <w:spacing w:line="560" w:lineRule="exact"/>
        <w:ind w:firstLine="643"/>
        <w:rPr>
          <w:rFonts w:ascii="仿宋_GB2312" w:hAnsi="宋体"/>
          <w:b/>
          <w:szCs w:val="28"/>
        </w:rPr>
      </w:pPr>
      <w:r>
        <w:rPr>
          <w:rFonts w:hint="eastAsia" w:ascii="仿宋_GB2312" w:hAnsi="宋体"/>
          <w:b/>
          <w:szCs w:val="28"/>
        </w:rPr>
        <w:t>（一）标准报批发布后，成立标准宣贯工作组</w:t>
      </w:r>
    </w:p>
    <w:p w14:paraId="1A846B13">
      <w:pPr>
        <w:spacing w:line="560" w:lineRule="exact"/>
        <w:ind w:firstLine="640"/>
        <w:rPr>
          <w:rFonts w:ascii="仿宋_GB2312" w:hAnsi="宋体"/>
          <w:szCs w:val="28"/>
        </w:rPr>
      </w:pPr>
      <w:r>
        <w:rPr>
          <w:rFonts w:hint="eastAsia" w:ascii="仿宋_GB2312" w:hAnsi="宋体"/>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5C317F08">
      <w:pPr>
        <w:spacing w:line="560" w:lineRule="exact"/>
        <w:ind w:firstLine="643"/>
        <w:rPr>
          <w:rFonts w:ascii="仿宋_GB2312" w:hAnsi="宋体"/>
          <w:b/>
          <w:szCs w:val="28"/>
        </w:rPr>
      </w:pPr>
      <w:r>
        <w:rPr>
          <w:rFonts w:hint="eastAsia" w:ascii="仿宋_GB2312" w:hAnsi="宋体"/>
          <w:b/>
          <w:szCs w:val="28"/>
        </w:rPr>
        <w:t>（二）组织开展标准宣贯培训</w:t>
      </w:r>
    </w:p>
    <w:p w14:paraId="5734950B">
      <w:pPr>
        <w:spacing w:line="560" w:lineRule="exact"/>
        <w:ind w:firstLine="640"/>
        <w:rPr>
          <w:rFonts w:ascii="仿宋_GB2312" w:hAnsi="宋体"/>
          <w:szCs w:val="28"/>
        </w:rPr>
      </w:pPr>
      <w:r>
        <w:rPr>
          <w:rFonts w:hint="eastAsia" w:ascii="仿宋_GB2312" w:hAnsi="宋体"/>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5AB9C87E">
      <w:pPr>
        <w:spacing w:line="560" w:lineRule="exact"/>
        <w:ind w:firstLine="643"/>
        <w:rPr>
          <w:rFonts w:ascii="仿宋_GB2312" w:hAnsi="宋体"/>
          <w:b/>
          <w:szCs w:val="28"/>
        </w:rPr>
      </w:pPr>
      <w:r>
        <w:rPr>
          <w:rFonts w:hint="eastAsia" w:ascii="仿宋_GB2312" w:hAnsi="宋体"/>
          <w:b/>
          <w:szCs w:val="28"/>
        </w:rPr>
        <w:t>（三）开展标准实施交流会，收集标准实施反馈信息</w:t>
      </w:r>
    </w:p>
    <w:p w14:paraId="67913832">
      <w:pPr>
        <w:spacing w:line="560" w:lineRule="exact"/>
        <w:ind w:firstLine="640"/>
        <w:rPr>
          <w:rFonts w:ascii="仿宋_GB2312" w:hAnsi="宋体"/>
          <w:szCs w:val="28"/>
        </w:rPr>
      </w:pPr>
      <w:r>
        <w:rPr>
          <w:rFonts w:hint="eastAsia" w:ascii="仿宋_GB2312" w:hAnsi="宋体"/>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6BDB696F">
      <w:pPr>
        <w:spacing w:line="560" w:lineRule="exact"/>
        <w:ind w:firstLine="643"/>
        <w:rPr>
          <w:rFonts w:ascii="仿宋_GB2312" w:hAnsi="宋体"/>
          <w:b/>
          <w:szCs w:val="28"/>
        </w:rPr>
      </w:pPr>
      <w:r>
        <w:rPr>
          <w:rFonts w:hint="eastAsia" w:ascii="仿宋_GB2312" w:hAnsi="宋体"/>
          <w:b/>
          <w:szCs w:val="28"/>
        </w:rPr>
        <w:t>（四）开展标准实施效果评估</w:t>
      </w:r>
    </w:p>
    <w:p w14:paraId="6B8A73B4">
      <w:pPr>
        <w:spacing w:line="560" w:lineRule="exact"/>
        <w:ind w:firstLine="640"/>
        <w:rPr>
          <w:rFonts w:ascii="仿宋_GB2312" w:hAnsi="宋体"/>
          <w:szCs w:val="28"/>
        </w:rPr>
      </w:pPr>
      <w:r>
        <w:rPr>
          <w:rFonts w:hint="eastAsia" w:ascii="仿宋_GB2312" w:hAnsi="宋体"/>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00E714D6">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6C079AA8">
      <w:pPr>
        <w:spacing w:line="560" w:lineRule="exact"/>
        <w:ind w:firstLine="640"/>
        <w:rPr>
          <w:rFonts w:ascii="仿宋_GB2312" w:hAnsi="宋体"/>
          <w:szCs w:val="28"/>
        </w:rPr>
      </w:pPr>
      <w:r>
        <w:rPr>
          <w:rFonts w:hint="eastAsia" w:ascii="仿宋_GB2312" w:hAnsi="宋体"/>
          <w:szCs w:val="28"/>
        </w:rPr>
        <w:t>无。</w:t>
      </w:r>
    </w:p>
    <w:p w14:paraId="4BE1C203">
      <w:pPr>
        <w:spacing w:line="560" w:lineRule="exact"/>
        <w:ind w:firstLine="0" w:firstLineChars="0"/>
        <w:rPr>
          <w:rFonts w:ascii="仿宋_GB2312" w:hAnsi="仿宋"/>
          <w:bCs/>
          <w:sz w:val="36"/>
          <w:szCs w:val="32"/>
        </w:rPr>
      </w:pPr>
    </w:p>
    <w:p w14:paraId="3C7FA8B5">
      <w:pPr>
        <w:spacing w:line="560" w:lineRule="exact"/>
        <w:ind w:firstLine="640"/>
        <w:jc w:val="right"/>
        <w:rPr>
          <w:rFonts w:ascii="仿宋_GB2312" w:hAnsi="宋体"/>
          <w:szCs w:val="28"/>
        </w:rPr>
      </w:pPr>
      <w:r>
        <w:rPr>
          <w:rFonts w:hint="eastAsia" w:ascii="仿宋_GB2312" w:hAnsi="宋体"/>
          <w:szCs w:val="28"/>
        </w:rPr>
        <w:t xml:space="preserve"> 团体标准《奶水牛生产性能测定管理规范》</w:t>
      </w:r>
    </w:p>
    <w:p w14:paraId="106756F0">
      <w:pPr>
        <w:spacing w:line="560" w:lineRule="exact"/>
        <w:ind w:firstLine="640"/>
        <w:jc w:val="right"/>
        <w:rPr>
          <w:rFonts w:ascii="仿宋_GB2312" w:hAnsi="宋体"/>
          <w:szCs w:val="28"/>
        </w:rPr>
      </w:pPr>
      <w:r>
        <w:rPr>
          <w:rFonts w:hint="eastAsia" w:ascii="仿宋_GB2312" w:hAnsi="宋体"/>
          <w:szCs w:val="28"/>
        </w:rPr>
        <w:t>标准编制工作组</w:t>
      </w:r>
    </w:p>
    <w:p w14:paraId="32121E43">
      <w:pPr>
        <w:spacing w:line="560" w:lineRule="exact"/>
        <w:ind w:firstLine="640"/>
        <w:jc w:val="right"/>
        <w:rPr>
          <w:rFonts w:ascii="仿宋_GB2312" w:hAnsi="宋体"/>
          <w:szCs w:val="28"/>
        </w:rPr>
      </w:pPr>
      <w:r>
        <w:rPr>
          <w:rFonts w:hint="eastAsia" w:ascii="仿宋_GB2312" w:hAnsi="宋体"/>
          <w:szCs w:val="28"/>
        </w:rPr>
        <w:t>2026年3月26日</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732CDCAA">
        <w:pPr>
          <w:pStyle w:val="5"/>
          <w:ind w:firstLine="360"/>
          <w:jc w:val="center"/>
        </w:pPr>
        <w:r>
          <w:fldChar w:fldCharType="begin"/>
        </w:r>
        <w:r>
          <w:instrText xml:space="preserve">PAGE   \* MERGEFORMAT</w:instrText>
        </w:r>
        <w:r>
          <w:fldChar w:fldCharType="separate"/>
        </w:r>
        <w:r>
          <w:rPr>
            <w:lang w:val="zh-CN"/>
          </w:rPr>
          <w:t>12</w:t>
        </w:r>
        <w:r>
          <w:fldChar w:fldCharType="end"/>
        </w:r>
      </w:p>
    </w:sdtContent>
  </w:sdt>
  <w:p w14:paraId="4F2F88DC">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C165E">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9AFEE">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94F98">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C0D40">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C19F5">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E7D34"/>
    <w:multiLevelType w:val="multilevel"/>
    <w:tmpl w:val="BFCE7D34"/>
    <w:lvl w:ilvl="0" w:tentative="0">
      <w:start w:val="1"/>
      <w:numFmt w:val="upperLetter"/>
      <w:suff w:val="space"/>
      <w:lvlText w:val="%1"/>
      <w:lvlJc w:val="left"/>
      <w:pPr>
        <w:ind w:left="425" w:hanging="425"/>
      </w:pPr>
    </w:lvl>
    <w:lvl w:ilvl="1" w:tentative="0">
      <w:start w:val="1"/>
      <w:numFmt w:val="decimal"/>
      <w:pStyle w:val="48"/>
      <w:suff w:val="space"/>
      <w:lvlText w:val="表%1.%2"/>
      <w:lvlJc w:val="center"/>
      <w:pPr>
        <w:ind w:left="0" w:firstLine="0"/>
      </w:pPr>
      <w:rPr>
        <w:rFonts w:hint="eastAsia" w:ascii="黑体" w:hAnsi="Times New Roman" w:eastAsia="黑体" w:cs="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5"/>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E09D9079"/>
    <w:multiLevelType w:val="multilevel"/>
    <w:tmpl w:val="E09D9079"/>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6"/>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E6F4C356"/>
    <w:multiLevelType w:val="multilevel"/>
    <w:tmpl w:val="E6F4C356"/>
    <w:lvl w:ilvl="0" w:tentative="0">
      <w:start w:val="1"/>
      <w:numFmt w:val="none"/>
      <w:pStyle w:val="49"/>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3">
    <w:nsid w:val="EC520B8A"/>
    <w:multiLevelType w:val="multilevel"/>
    <w:tmpl w:val="EC520B8A"/>
    <w:lvl w:ilvl="0" w:tentative="0">
      <w:start w:val="1"/>
      <w:numFmt w:val="none"/>
      <w:suff w:val="nothing"/>
      <w:lvlText w:val="%1"/>
      <w:lvlJc w:val="left"/>
      <w:pPr>
        <w:tabs>
          <w:tab w:val="left" w:pos="0"/>
        </w:tabs>
        <w:ind w:left="0" w:firstLine="0"/>
      </w:pPr>
      <w:rPr>
        <w:rFonts w:cs="Times New Roman"/>
      </w:rPr>
    </w:lvl>
    <w:lvl w:ilvl="1" w:tentative="0">
      <w:start w:val="1"/>
      <w:numFmt w:val="decimal"/>
      <w:suff w:val="nothing"/>
      <w:lvlText w:val="%1%2　"/>
      <w:lvlJc w:val="left"/>
      <w:pPr>
        <w:tabs>
          <w:tab w:val="left" w:pos="0"/>
        </w:tabs>
        <w:ind w:left="0" w:firstLine="0"/>
      </w:pPr>
      <w:rPr>
        <w:rFonts w:hint="eastAsia" w:ascii="黑体" w:hAnsi="Times New Roman" w:eastAsia="黑体" w:cs="Times New Roman"/>
        <w:b w:val="0"/>
        <w:i w:val="0"/>
        <w:sz w:val="21"/>
      </w:rPr>
    </w:lvl>
    <w:lvl w:ilvl="2" w:tentative="0">
      <w:start w:val="1"/>
      <w:numFmt w:val="decimal"/>
      <w:pStyle w:val="40"/>
      <w:suff w:val="nothing"/>
      <w:lvlText w:val="%1%2.%3　"/>
      <w:lvlJc w:val="left"/>
      <w:pPr>
        <w:tabs>
          <w:tab w:val="left" w:pos="0"/>
        </w:tabs>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tabs>
          <w:tab w:val="left" w:pos="0"/>
        </w:tabs>
        <w:ind w:left="0" w:firstLine="0"/>
      </w:pPr>
      <w:rPr>
        <w:rFonts w:hint="eastAsia" w:ascii="黑体" w:hAnsi="Times New Roman" w:eastAsia="黑体" w:cs="Times New Roman"/>
        <w:b w:val="0"/>
        <w:i w:val="0"/>
        <w:sz w:val="21"/>
      </w:rPr>
    </w:lvl>
    <w:lvl w:ilvl="4" w:tentative="0">
      <w:start w:val="1"/>
      <w:numFmt w:val="decimal"/>
      <w:suff w:val="nothing"/>
      <w:lvlText w:val="%1%2.%3.%4.%5　"/>
      <w:lvlJc w:val="left"/>
      <w:pPr>
        <w:tabs>
          <w:tab w:val="left" w:pos="0"/>
        </w:tabs>
        <w:ind w:left="0" w:firstLine="0"/>
      </w:pPr>
      <w:rPr>
        <w:rFonts w:hint="eastAsia" w:ascii="黑体" w:hAnsi="Times New Roman" w:eastAsia="黑体" w:cs="Times New Roman"/>
        <w:b w:val="0"/>
        <w:i w:val="0"/>
        <w:sz w:val="21"/>
      </w:rPr>
    </w:lvl>
    <w:lvl w:ilvl="5" w:tentative="0">
      <w:start w:val="1"/>
      <w:numFmt w:val="decimal"/>
      <w:suff w:val="nothing"/>
      <w:lvlText w:val="%1%2.%3.%4.%5.%6　"/>
      <w:lvlJc w:val="left"/>
      <w:pPr>
        <w:tabs>
          <w:tab w:val="left" w:pos="0"/>
        </w:tabs>
        <w:ind w:left="0" w:firstLine="0"/>
      </w:pPr>
      <w:rPr>
        <w:rFonts w:hint="eastAsia" w:ascii="黑体" w:hAnsi="Times New Roman" w:eastAsia="黑体" w:cs="Times New Roman"/>
        <w:b w:val="0"/>
        <w:i w:val="0"/>
        <w:sz w:val="21"/>
      </w:rPr>
    </w:lvl>
    <w:lvl w:ilvl="6" w:tentative="0">
      <w:start w:val="1"/>
      <w:numFmt w:val="decimal"/>
      <w:suff w:val="nothing"/>
      <w:lvlText w:val="%1%2.%3.%4.%5.%6.%7　"/>
      <w:lvlJc w:val="left"/>
      <w:pPr>
        <w:tabs>
          <w:tab w:val="left" w:pos="0"/>
        </w:tabs>
        <w:ind w:left="0" w:firstLine="0"/>
      </w:pPr>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72"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4">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DDE2B46"/>
    <w:multiLevelType w:val="multilevel"/>
    <w:tmpl w:val="0DDE2B46"/>
    <w:lvl w:ilvl="0" w:tentative="0">
      <w:start w:val="1"/>
      <w:numFmt w:val="lowerLetter"/>
      <w:pStyle w:val="26"/>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9A288B3"/>
    <w:multiLevelType w:val="multilevel"/>
    <w:tmpl w:val="19A288B3"/>
    <w:lvl w:ilvl="0" w:tentative="0">
      <w:start w:val="1"/>
      <w:numFmt w:val="upperLetter"/>
      <w:suff w:val="nothing"/>
      <w:lvlText w:val="附录%1"/>
      <w:lvlJc w:val="left"/>
      <w:pPr>
        <w:ind w:left="0" w:firstLine="0"/>
      </w:pPr>
      <w:rPr>
        <w:spacing w:val="100"/>
      </w:rPr>
    </w:lvl>
    <w:lvl w:ilvl="1" w:tentative="0">
      <w:start w:val="1"/>
      <w:numFmt w:val="decimal"/>
      <w:pStyle w:val="47"/>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1DBF583A"/>
    <w:multiLevelType w:val="multilevel"/>
    <w:tmpl w:val="1DBF583A"/>
    <w:lvl w:ilvl="0" w:tentative="0">
      <w:start w:val="1"/>
      <w:numFmt w:val="decimal"/>
      <w:pStyle w:val="2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23"/>
      <w:suff w:val="space"/>
      <w:lvlText w:val="%1"/>
      <w:lvlJc w:val="left"/>
      <w:pPr>
        <w:ind w:left="623" w:hanging="425"/>
      </w:pPr>
      <w:rPr>
        <w:rFonts w:hint="eastAsia"/>
      </w:rPr>
    </w:lvl>
    <w:lvl w:ilvl="1" w:tentative="0">
      <w:start w:val="1"/>
      <w:numFmt w:val="decimal"/>
      <w:pStyle w:val="2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34FD0FF7"/>
    <w:multiLevelType w:val="multilevel"/>
    <w:tmpl w:val="34FD0FF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3"/>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1">
    <w:nsid w:val="557C2AF5"/>
    <w:multiLevelType w:val="multilevel"/>
    <w:tmpl w:val="557C2AF5"/>
    <w:lvl w:ilvl="0" w:tentative="0">
      <w:start w:val="1"/>
      <w:numFmt w:val="decimal"/>
      <w:pStyle w:val="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B36EB98"/>
    <w:multiLevelType w:val="multilevel"/>
    <w:tmpl w:val="5B36EB98"/>
    <w:lvl w:ilvl="0" w:tentative="0">
      <w:start w:val="1"/>
      <w:numFmt w:val="none"/>
      <w:pStyle w:val="44"/>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2"/>
      <w:suff w:val="nothing"/>
      <w:lvlText w:val="%1%2　"/>
      <w:lvlJc w:val="left"/>
      <w:pPr>
        <w:ind w:left="0" w:firstLine="0"/>
      </w:pPr>
      <w:rPr>
        <w:rFonts w:hint="eastAsia" w:ascii="黑体" w:eastAsia="黑体"/>
        <w:b w:val="0"/>
        <w:i w:val="0"/>
        <w:sz w:val="21"/>
      </w:rPr>
    </w:lvl>
    <w:lvl w:ilvl="2" w:tentative="0">
      <w:start w:val="1"/>
      <w:numFmt w:val="decimal"/>
      <w:pStyle w:val="4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4"/>
  </w:num>
  <w:num w:numId="2">
    <w:abstractNumId w:val="11"/>
  </w:num>
  <w:num w:numId="3">
    <w:abstractNumId w:val="8"/>
  </w:num>
  <w:num w:numId="4">
    <w:abstractNumId w:val="4"/>
  </w:num>
  <w:num w:numId="5">
    <w:abstractNumId w:val="9"/>
  </w:num>
  <w:num w:numId="6">
    <w:abstractNumId w:val="7"/>
  </w:num>
  <w:num w:numId="7">
    <w:abstractNumId w:val="5"/>
  </w:num>
  <w:num w:numId="8">
    <w:abstractNumId w:val="13"/>
  </w:num>
  <w:num w:numId="9">
    <w:abstractNumId w:val="3"/>
  </w:num>
  <w:num w:numId="10">
    <w:abstractNumId w:val="15"/>
  </w:num>
  <w:num w:numId="11">
    <w:abstractNumId w:val="10"/>
  </w:num>
  <w:num w:numId="12">
    <w:abstractNumId w:val="12"/>
  </w:num>
  <w:num w:numId="13">
    <w:abstractNumId w:val="1"/>
  </w:num>
  <w:num w:numId="14">
    <w:abstractNumId w:val="6"/>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2461"/>
    <w:rsid w:val="00023119"/>
    <w:rsid w:val="00023FE2"/>
    <w:rsid w:val="00024212"/>
    <w:rsid w:val="00024664"/>
    <w:rsid w:val="00032CD6"/>
    <w:rsid w:val="00033257"/>
    <w:rsid w:val="00034233"/>
    <w:rsid w:val="00034BDB"/>
    <w:rsid w:val="00047D7B"/>
    <w:rsid w:val="00053B0B"/>
    <w:rsid w:val="00056C7D"/>
    <w:rsid w:val="000576D0"/>
    <w:rsid w:val="00057758"/>
    <w:rsid w:val="00060FE2"/>
    <w:rsid w:val="00061828"/>
    <w:rsid w:val="00070C25"/>
    <w:rsid w:val="0007330D"/>
    <w:rsid w:val="00073F72"/>
    <w:rsid w:val="00074EB1"/>
    <w:rsid w:val="00076BBA"/>
    <w:rsid w:val="00080F2F"/>
    <w:rsid w:val="0008145A"/>
    <w:rsid w:val="000867E8"/>
    <w:rsid w:val="0009177A"/>
    <w:rsid w:val="0009191C"/>
    <w:rsid w:val="00093E74"/>
    <w:rsid w:val="000962F6"/>
    <w:rsid w:val="000A0201"/>
    <w:rsid w:val="000A1EAE"/>
    <w:rsid w:val="000A2394"/>
    <w:rsid w:val="000A3070"/>
    <w:rsid w:val="000A4601"/>
    <w:rsid w:val="000A77CD"/>
    <w:rsid w:val="000B572A"/>
    <w:rsid w:val="000C724C"/>
    <w:rsid w:val="000D0ACE"/>
    <w:rsid w:val="000D15BE"/>
    <w:rsid w:val="000D5AC8"/>
    <w:rsid w:val="000D6612"/>
    <w:rsid w:val="000D751C"/>
    <w:rsid w:val="000D7F33"/>
    <w:rsid w:val="000F10EB"/>
    <w:rsid w:val="000F3365"/>
    <w:rsid w:val="000F3B4D"/>
    <w:rsid w:val="000F517A"/>
    <w:rsid w:val="001012D5"/>
    <w:rsid w:val="00101D2E"/>
    <w:rsid w:val="00103B83"/>
    <w:rsid w:val="00105252"/>
    <w:rsid w:val="001062E3"/>
    <w:rsid w:val="00106661"/>
    <w:rsid w:val="0010769F"/>
    <w:rsid w:val="00110864"/>
    <w:rsid w:val="00110F43"/>
    <w:rsid w:val="00112415"/>
    <w:rsid w:val="00113B53"/>
    <w:rsid w:val="00114946"/>
    <w:rsid w:val="00116499"/>
    <w:rsid w:val="00122573"/>
    <w:rsid w:val="00124F56"/>
    <w:rsid w:val="00126CA6"/>
    <w:rsid w:val="001273E7"/>
    <w:rsid w:val="00127EB0"/>
    <w:rsid w:val="00131B03"/>
    <w:rsid w:val="001326C2"/>
    <w:rsid w:val="00132C5F"/>
    <w:rsid w:val="00133786"/>
    <w:rsid w:val="00134DD4"/>
    <w:rsid w:val="00134FC2"/>
    <w:rsid w:val="001435D3"/>
    <w:rsid w:val="001449B5"/>
    <w:rsid w:val="001463AC"/>
    <w:rsid w:val="00151076"/>
    <w:rsid w:val="0015152A"/>
    <w:rsid w:val="00153B09"/>
    <w:rsid w:val="00156020"/>
    <w:rsid w:val="00156663"/>
    <w:rsid w:val="001611BB"/>
    <w:rsid w:val="0016153F"/>
    <w:rsid w:val="00167167"/>
    <w:rsid w:val="001708F8"/>
    <w:rsid w:val="0018112C"/>
    <w:rsid w:val="00183467"/>
    <w:rsid w:val="0018451D"/>
    <w:rsid w:val="00190A64"/>
    <w:rsid w:val="00190C6A"/>
    <w:rsid w:val="00191774"/>
    <w:rsid w:val="00191DCE"/>
    <w:rsid w:val="001923CF"/>
    <w:rsid w:val="001925FD"/>
    <w:rsid w:val="00192FF7"/>
    <w:rsid w:val="001930A1"/>
    <w:rsid w:val="00194FE3"/>
    <w:rsid w:val="00195F7F"/>
    <w:rsid w:val="00196054"/>
    <w:rsid w:val="00196961"/>
    <w:rsid w:val="00196B3D"/>
    <w:rsid w:val="0019711F"/>
    <w:rsid w:val="001A0DBF"/>
    <w:rsid w:val="001A3402"/>
    <w:rsid w:val="001A5882"/>
    <w:rsid w:val="001A5ADB"/>
    <w:rsid w:val="001B0E92"/>
    <w:rsid w:val="001B36E5"/>
    <w:rsid w:val="001B3B17"/>
    <w:rsid w:val="001C5F01"/>
    <w:rsid w:val="001C793C"/>
    <w:rsid w:val="001D22F0"/>
    <w:rsid w:val="001D64DB"/>
    <w:rsid w:val="001D7816"/>
    <w:rsid w:val="001E4AF3"/>
    <w:rsid w:val="001E5000"/>
    <w:rsid w:val="001E6E39"/>
    <w:rsid w:val="001F045F"/>
    <w:rsid w:val="001F07A8"/>
    <w:rsid w:val="001F16E6"/>
    <w:rsid w:val="001F241E"/>
    <w:rsid w:val="001F537A"/>
    <w:rsid w:val="001F660A"/>
    <w:rsid w:val="001F79F5"/>
    <w:rsid w:val="001F7E35"/>
    <w:rsid w:val="00200D37"/>
    <w:rsid w:val="00204D63"/>
    <w:rsid w:val="00205603"/>
    <w:rsid w:val="00207045"/>
    <w:rsid w:val="00210916"/>
    <w:rsid w:val="002116FB"/>
    <w:rsid w:val="00213FCF"/>
    <w:rsid w:val="00214221"/>
    <w:rsid w:val="00217683"/>
    <w:rsid w:val="002223DD"/>
    <w:rsid w:val="002231E8"/>
    <w:rsid w:val="00223EB7"/>
    <w:rsid w:val="0022453A"/>
    <w:rsid w:val="00224EB8"/>
    <w:rsid w:val="0022617D"/>
    <w:rsid w:val="0022762C"/>
    <w:rsid w:val="00231E62"/>
    <w:rsid w:val="00232769"/>
    <w:rsid w:val="00233878"/>
    <w:rsid w:val="00234071"/>
    <w:rsid w:val="00244ADA"/>
    <w:rsid w:val="00244C0C"/>
    <w:rsid w:val="002465C7"/>
    <w:rsid w:val="002526F3"/>
    <w:rsid w:val="00254F7A"/>
    <w:rsid w:val="00256FE0"/>
    <w:rsid w:val="002614C6"/>
    <w:rsid w:val="002621E1"/>
    <w:rsid w:val="00262753"/>
    <w:rsid w:val="00262771"/>
    <w:rsid w:val="00262F6C"/>
    <w:rsid w:val="00263DD4"/>
    <w:rsid w:val="00264A7D"/>
    <w:rsid w:val="00264CE4"/>
    <w:rsid w:val="002651A9"/>
    <w:rsid w:val="00266090"/>
    <w:rsid w:val="00270BF7"/>
    <w:rsid w:val="0027235B"/>
    <w:rsid w:val="00276DBC"/>
    <w:rsid w:val="00277C35"/>
    <w:rsid w:val="00283085"/>
    <w:rsid w:val="00283E25"/>
    <w:rsid w:val="0029084D"/>
    <w:rsid w:val="00291D7F"/>
    <w:rsid w:val="00291EF3"/>
    <w:rsid w:val="002952AC"/>
    <w:rsid w:val="00297348"/>
    <w:rsid w:val="002A0A87"/>
    <w:rsid w:val="002A2FCF"/>
    <w:rsid w:val="002A4D06"/>
    <w:rsid w:val="002A5D80"/>
    <w:rsid w:val="002B07E3"/>
    <w:rsid w:val="002B23AB"/>
    <w:rsid w:val="002B2E35"/>
    <w:rsid w:val="002B3D69"/>
    <w:rsid w:val="002B4A9D"/>
    <w:rsid w:val="002B5497"/>
    <w:rsid w:val="002C1D2A"/>
    <w:rsid w:val="002C4618"/>
    <w:rsid w:val="002C4FFB"/>
    <w:rsid w:val="002C5534"/>
    <w:rsid w:val="002C611B"/>
    <w:rsid w:val="002C73B6"/>
    <w:rsid w:val="002D0418"/>
    <w:rsid w:val="002D2662"/>
    <w:rsid w:val="002D49CC"/>
    <w:rsid w:val="002D6D1E"/>
    <w:rsid w:val="002E073F"/>
    <w:rsid w:val="002E6938"/>
    <w:rsid w:val="002E7467"/>
    <w:rsid w:val="002E7A35"/>
    <w:rsid w:val="002F1618"/>
    <w:rsid w:val="002F34AA"/>
    <w:rsid w:val="002F4B59"/>
    <w:rsid w:val="002F4D7B"/>
    <w:rsid w:val="002F513F"/>
    <w:rsid w:val="002F613B"/>
    <w:rsid w:val="003025DF"/>
    <w:rsid w:val="00303E23"/>
    <w:rsid w:val="00304BFD"/>
    <w:rsid w:val="00305A7C"/>
    <w:rsid w:val="00306925"/>
    <w:rsid w:val="0031011D"/>
    <w:rsid w:val="00311AEE"/>
    <w:rsid w:val="003144B8"/>
    <w:rsid w:val="00314640"/>
    <w:rsid w:val="00327623"/>
    <w:rsid w:val="0033375C"/>
    <w:rsid w:val="003356CC"/>
    <w:rsid w:val="0034090F"/>
    <w:rsid w:val="003435D3"/>
    <w:rsid w:val="00343C24"/>
    <w:rsid w:val="00345BCC"/>
    <w:rsid w:val="00350218"/>
    <w:rsid w:val="00352D8D"/>
    <w:rsid w:val="00353735"/>
    <w:rsid w:val="00354D06"/>
    <w:rsid w:val="00356D19"/>
    <w:rsid w:val="00357A1D"/>
    <w:rsid w:val="00357E18"/>
    <w:rsid w:val="0036001E"/>
    <w:rsid w:val="00360952"/>
    <w:rsid w:val="003620B6"/>
    <w:rsid w:val="00362F10"/>
    <w:rsid w:val="00365252"/>
    <w:rsid w:val="00372A01"/>
    <w:rsid w:val="00372C98"/>
    <w:rsid w:val="00373BAD"/>
    <w:rsid w:val="00374390"/>
    <w:rsid w:val="003754CF"/>
    <w:rsid w:val="00381796"/>
    <w:rsid w:val="00382AB2"/>
    <w:rsid w:val="0038615C"/>
    <w:rsid w:val="00386647"/>
    <w:rsid w:val="00391984"/>
    <w:rsid w:val="00392E22"/>
    <w:rsid w:val="00396025"/>
    <w:rsid w:val="003A7C72"/>
    <w:rsid w:val="003B2F32"/>
    <w:rsid w:val="003B5050"/>
    <w:rsid w:val="003B729F"/>
    <w:rsid w:val="003C13D9"/>
    <w:rsid w:val="003C2C74"/>
    <w:rsid w:val="003C2D44"/>
    <w:rsid w:val="003C483D"/>
    <w:rsid w:val="003C6877"/>
    <w:rsid w:val="003D3AF0"/>
    <w:rsid w:val="003D48B6"/>
    <w:rsid w:val="003D51D0"/>
    <w:rsid w:val="003D5CB5"/>
    <w:rsid w:val="003D6E58"/>
    <w:rsid w:val="003E330B"/>
    <w:rsid w:val="003E4A86"/>
    <w:rsid w:val="003F064F"/>
    <w:rsid w:val="003F284D"/>
    <w:rsid w:val="003F28D0"/>
    <w:rsid w:val="003F2FF1"/>
    <w:rsid w:val="003F3119"/>
    <w:rsid w:val="003F392A"/>
    <w:rsid w:val="003F3AAC"/>
    <w:rsid w:val="003F727B"/>
    <w:rsid w:val="0040035D"/>
    <w:rsid w:val="00401A74"/>
    <w:rsid w:val="00403F64"/>
    <w:rsid w:val="00404BD1"/>
    <w:rsid w:val="004050BE"/>
    <w:rsid w:val="0040610D"/>
    <w:rsid w:val="00406A80"/>
    <w:rsid w:val="00415729"/>
    <w:rsid w:val="004158CF"/>
    <w:rsid w:val="0042062E"/>
    <w:rsid w:val="00423E24"/>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2BA6"/>
    <w:rsid w:val="00465230"/>
    <w:rsid w:val="00467DEF"/>
    <w:rsid w:val="00467DFC"/>
    <w:rsid w:val="004715D8"/>
    <w:rsid w:val="00475C51"/>
    <w:rsid w:val="004805D0"/>
    <w:rsid w:val="00480BA1"/>
    <w:rsid w:val="00481328"/>
    <w:rsid w:val="004814A9"/>
    <w:rsid w:val="0048357F"/>
    <w:rsid w:val="00484EF3"/>
    <w:rsid w:val="00485212"/>
    <w:rsid w:val="004865C9"/>
    <w:rsid w:val="0049011A"/>
    <w:rsid w:val="00491FE3"/>
    <w:rsid w:val="0049241F"/>
    <w:rsid w:val="00493251"/>
    <w:rsid w:val="0049390C"/>
    <w:rsid w:val="004A25C4"/>
    <w:rsid w:val="004A2878"/>
    <w:rsid w:val="004A346E"/>
    <w:rsid w:val="004A614E"/>
    <w:rsid w:val="004A6458"/>
    <w:rsid w:val="004A660C"/>
    <w:rsid w:val="004A76AB"/>
    <w:rsid w:val="004B2E7F"/>
    <w:rsid w:val="004B31EC"/>
    <w:rsid w:val="004C4136"/>
    <w:rsid w:val="004D155D"/>
    <w:rsid w:val="004D2302"/>
    <w:rsid w:val="004D2C10"/>
    <w:rsid w:val="004D393C"/>
    <w:rsid w:val="004D5B22"/>
    <w:rsid w:val="004E1469"/>
    <w:rsid w:val="004E3026"/>
    <w:rsid w:val="004E4C4F"/>
    <w:rsid w:val="004F0593"/>
    <w:rsid w:val="004F48C2"/>
    <w:rsid w:val="004F74F0"/>
    <w:rsid w:val="004F7FA9"/>
    <w:rsid w:val="005009D1"/>
    <w:rsid w:val="0050156A"/>
    <w:rsid w:val="00505469"/>
    <w:rsid w:val="005066ED"/>
    <w:rsid w:val="005067C2"/>
    <w:rsid w:val="0051028F"/>
    <w:rsid w:val="0051148B"/>
    <w:rsid w:val="00512AEC"/>
    <w:rsid w:val="00513080"/>
    <w:rsid w:val="00514C97"/>
    <w:rsid w:val="005159F5"/>
    <w:rsid w:val="00516AFA"/>
    <w:rsid w:val="005232BE"/>
    <w:rsid w:val="00526200"/>
    <w:rsid w:val="005269CF"/>
    <w:rsid w:val="00533886"/>
    <w:rsid w:val="0053418A"/>
    <w:rsid w:val="00535AC6"/>
    <w:rsid w:val="00537550"/>
    <w:rsid w:val="00541E4A"/>
    <w:rsid w:val="0054291F"/>
    <w:rsid w:val="0054317B"/>
    <w:rsid w:val="00544394"/>
    <w:rsid w:val="00546DEA"/>
    <w:rsid w:val="005500AC"/>
    <w:rsid w:val="00550145"/>
    <w:rsid w:val="0055736F"/>
    <w:rsid w:val="0056116F"/>
    <w:rsid w:val="00561E4D"/>
    <w:rsid w:val="005639F8"/>
    <w:rsid w:val="005656AA"/>
    <w:rsid w:val="00566EC7"/>
    <w:rsid w:val="005742DB"/>
    <w:rsid w:val="00577C08"/>
    <w:rsid w:val="005802BD"/>
    <w:rsid w:val="0058151C"/>
    <w:rsid w:val="00581CE7"/>
    <w:rsid w:val="00581FCC"/>
    <w:rsid w:val="00582F5C"/>
    <w:rsid w:val="0058472C"/>
    <w:rsid w:val="005870E5"/>
    <w:rsid w:val="005873D6"/>
    <w:rsid w:val="005876DE"/>
    <w:rsid w:val="0059163D"/>
    <w:rsid w:val="00593466"/>
    <w:rsid w:val="00596702"/>
    <w:rsid w:val="005977DE"/>
    <w:rsid w:val="005A1A17"/>
    <w:rsid w:val="005A4523"/>
    <w:rsid w:val="005A4707"/>
    <w:rsid w:val="005B0CDC"/>
    <w:rsid w:val="005B2261"/>
    <w:rsid w:val="005B23F7"/>
    <w:rsid w:val="005B274B"/>
    <w:rsid w:val="005B7128"/>
    <w:rsid w:val="005B76D5"/>
    <w:rsid w:val="005B7B7E"/>
    <w:rsid w:val="005C468E"/>
    <w:rsid w:val="005D06D6"/>
    <w:rsid w:val="005D1EE1"/>
    <w:rsid w:val="005D2762"/>
    <w:rsid w:val="005D2AEE"/>
    <w:rsid w:val="005D3F96"/>
    <w:rsid w:val="005D4061"/>
    <w:rsid w:val="005D5DDF"/>
    <w:rsid w:val="005D6A5C"/>
    <w:rsid w:val="005E05D4"/>
    <w:rsid w:val="005E207A"/>
    <w:rsid w:val="005E2143"/>
    <w:rsid w:val="005F0995"/>
    <w:rsid w:val="005F1E35"/>
    <w:rsid w:val="005F36D9"/>
    <w:rsid w:val="005F470B"/>
    <w:rsid w:val="005F4CE9"/>
    <w:rsid w:val="005F4F92"/>
    <w:rsid w:val="005F6C71"/>
    <w:rsid w:val="005F71EC"/>
    <w:rsid w:val="005F7613"/>
    <w:rsid w:val="006038B2"/>
    <w:rsid w:val="006062AE"/>
    <w:rsid w:val="0060656D"/>
    <w:rsid w:val="00606B5A"/>
    <w:rsid w:val="00610884"/>
    <w:rsid w:val="00614347"/>
    <w:rsid w:val="006147DA"/>
    <w:rsid w:val="00615548"/>
    <w:rsid w:val="0062702A"/>
    <w:rsid w:val="00634CCC"/>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86086"/>
    <w:rsid w:val="00690D6C"/>
    <w:rsid w:val="006945D3"/>
    <w:rsid w:val="006A1BD7"/>
    <w:rsid w:val="006A2383"/>
    <w:rsid w:val="006A3112"/>
    <w:rsid w:val="006B1080"/>
    <w:rsid w:val="006B1E82"/>
    <w:rsid w:val="006B2092"/>
    <w:rsid w:val="006B2D99"/>
    <w:rsid w:val="006B6EA3"/>
    <w:rsid w:val="006C0CC1"/>
    <w:rsid w:val="006C5B91"/>
    <w:rsid w:val="006C6B87"/>
    <w:rsid w:val="006C70ED"/>
    <w:rsid w:val="006D0354"/>
    <w:rsid w:val="006D4B56"/>
    <w:rsid w:val="006D4CCC"/>
    <w:rsid w:val="006D50EC"/>
    <w:rsid w:val="006D5788"/>
    <w:rsid w:val="006D5D5F"/>
    <w:rsid w:val="006D63A6"/>
    <w:rsid w:val="006E155C"/>
    <w:rsid w:val="006E5AA3"/>
    <w:rsid w:val="006E65EC"/>
    <w:rsid w:val="006E7520"/>
    <w:rsid w:val="006F03ED"/>
    <w:rsid w:val="006F67E6"/>
    <w:rsid w:val="006F6D28"/>
    <w:rsid w:val="006F77F7"/>
    <w:rsid w:val="00700D32"/>
    <w:rsid w:val="0070138D"/>
    <w:rsid w:val="00701A2B"/>
    <w:rsid w:val="0070266E"/>
    <w:rsid w:val="007030AF"/>
    <w:rsid w:val="00705429"/>
    <w:rsid w:val="00705F4C"/>
    <w:rsid w:val="0070730B"/>
    <w:rsid w:val="00712BC5"/>
    <w:rsid w:val="00715CA4"/>
    <w:rsid w:val="00716EAC"/>
    <w:rsid w:val="00720395"/>
    <w:rsid w:val="00722AAE"/>
    <w:rsid w:val="0072448B"/>
    <w:rsid w:val="007245EF"/>
    <w:rsid w:val="00726016"/>
    <w:rsid w:val="00726F82"/>
    <w:rsid w:val="00727525"/>
    <w:rsid w:val="00735B90"/>
    <w:rsid w:val="007432F4"/>
    <w:rsid w:val="007477E3"/>
    <w:rsid w:val="0075401E"/>
    <w:rsid w:val="00755471"/>
    <w:rsid w:val="007556A8"/>
    <w:rsid w:val="00756686"/>
    <w:rsid w:val="00760DDA"/>
    <w:rsid w:val="00760FBD"/>
    <w:rsid w:val="00774780"/>
    <w:rsid w:val="007768A2"/>
    <w:rsid w:val="00776FE6"/>
    <w:rsid w:val="007812EA"/>
    <w:rsid w:val="00781F1A"/>
    <w:rsid w:val="00782C84"/>
    <w:rsid w:val="00784D8F"/>
    <w:rsid w:val="0078722E"/>
    <w:rsid w:val="007912E9"/>
    <w:rsid w:val="00791B89"/>
    <w:rsid w:val="007923BD"/>
    <w:rsid w:val="00793820"/>
    <w:rsid w:val="007945BC"/>
    <w:rsid w:val="00794DE3"/>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8C1"/>
    <w:rsid w:val="007C4C1F"/>
    <w:rsid w:val="007D1773"/>
    <w:rsid w:val="007D3096"/>
    <w:rsid w:val="007D4356"/>
    <w:rsid w:val="007D4FCA"/>
    <w:rsid w:val="007D520B"/>
    <w:rsid w:val="007D5225"/>
    <w:rsid w:val="007D6192"/>
    <w:rsid w:val="007D646F"/>
    <w:rsid w:val="007E0035"/>
    <w:rsid w:val="007F05BA"/>
    <w:rsid w:val="007F1688"/>
    <w:rsid w:val="007F17C2"/>
    <w:rsid w:val="007F3051"/>
    <w:rsid w:val="007F445F"/>
    <w:rsid w:val="007F69C4"/>
    <w:rsid w:val="00800158"/>
    <w:rsid w:val="00800C49"/>
    <w:rsid w:val="00800F46"/>
    <w:rsid w:val="008019FB"/>
    <w:rsid w:val="00805B1A"/>
    <w:rsid w:val="00812666"/>
    <w:rsid w:val="00816354"/>
    <w:rsid w:val="008166B9"/>
    <w:rsid w:val="00823734"/>
    <w:rsid w:val="00824710"/>
    <w:rsid w:val="00825BEF"/>
    <w:rsid w:val="00826AFA"/>
    <w:rsid w:val="00826D5A"/>
    <w:rsid w:val="008275DE"/>
    <w:rsid w:val="0083025F"/>
    <w:rsid w:val="00831A4E"/>
    <w:rsid w:val="00834158"/>
    <w:rsid w:val="00834F29"/>
    <w:rsid w:val="00837133"/>
    <w:rsid w:val="00841FDD"/>
    <w:rsid w:val="00843099"/>
    <w:rsid w:val="00844A63"/>
    <w:rsid w:val="00845B6B"/>
    <w:rsid w:val="00852FD5"/>
    <w:rsid w:val="0085555C"/>
    <w:rsid w:val="0085722C"/>
    <w:rsid w:val="00860076"/>
    <w:rsid w:val="00864B42"/>
    <w:rsid w:val="00864EDC"/>
    <w:rsid w:val="008717FD"/>
    <w:rsid w:val="00872085"/>
    <w:rsid w:val="0087311E"/>
    <w:rsid w:val="008766A7"/>
    <w:rsid w:val="0088023F"/>
    <w:rsid w:val="00881D70"/>
    <w:rsid w:val="00884AB2"/>
    <w:rsid w:val="008853E8"/>
    <w:rsid w:val="00890B67"/>
    <w:rsid w:val="00893361"/>
    <w:rsid w:val="00893A8E"/>
    <w:rsid w:val="00893CE3"/>
    <w:rsid w:val="008941F8"/>
    <w:rsid w:val="0089639E"/>
    <w:rsid w:val="0089684C"/>
    <w:rsid w:val="008A0387"/>
    <w:rsid w:val="008A328F"/>
    <w:rsid w:val="008A42EB"/>
    <w:rsid w:val="008A4E58"/>
    <w:rsid w:val="008A5347"/>
    <w:rsid w:val="008A5709"/>
    <w:rsid w:val="008A6B7B"/>
    <w:rsid w:val="008B1A6F"/>
    <w:rsid w:val="008B35DA"/>
    <w:rsid w:val="008B6562"/>
    <w:rsid w:val="008B7C56"/>
    <w:rsid w:val="008C0265"/>
    <w:rsid w:val="008C1BE0"/>
    <w:rsid w:val="008C5328"/>
    <w:rsid w:val="008C6844"/>
    <w:rsid w:val="008D03DD"/>
    <w:rsid w:val="008D1502"/>
    <w:rsid w:val="008D2E6B"/>
    <w:rsid w:val="008D3059"/>
    <w:rsid w:val="008D44E2"/>
    <w:rsid w:val="008D5C1F"/>
    <w:rsid w:val="008D612C"/>
    <w:rsid w:val="008E0C90"/>
    <w:rsid w:val="008E2793"/>
    <w:rsid w:val="008E340A"/>
    <w:rsid w:val="008E5FED"/>
    <w:rsid w:val="008E71FB"/>
    <w:rsid w:val="008F024A"/>
    <w:rsid w:val="008F4CD3"/>
    <w:rsid w:val="008F62FB"/>
    <w:rsid w:val="008F79BB"/>
    <w:rsid w:val="00900B1D"/>
    <w:rsid w:val="00901C67"/>
    <w:rsid w:val="00903CC7"/>
    <w:rsid w:val="009058DF"/>
    <w:rsid w:val="00907722"/>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44B8"/>
    <w:rsid w:val="00944D19"/>
    <w:rsid w:val="0094724D"/>
    <w:rsid w:val="009510ED"/>
    <w:rsid w:val="00954E13"/>
    <w:rsid w:val="00955098"/>
    <w:rsid w:val="00962A6D"/>
    <w:rsid w:val="009642C6"/>
    <w:rsid w:val="0096452B"/>
    <w:rsid w:val="0097237C"/>
    <w:rsid w:val="00975377"/>
    <w:rsid w:val="0097752F"/>
    <w:rsid w:val="00980E2D"/>
    <w:rsid w:val="00981308"/>
    <w:rsid w:val="00983CDC"/>
    <w:rsid w:val="00983E62"/>
    <w:rsid w:val="00984743"/>
    <w:rsid w:val="00985D99"/>
    <w:rsid w:val="009878F3"/>
    <w:rsid w:val="00987A4E"/>
    <w:rsid w:val="00987C57"/>
    <w:rsid w:val="0099188F"/>
    <w:rsid w:val="009926D7"/>
    <w:rsid w:val="00993328"/>
    <w:rsid w:val="00995822"/>
    <w:rsid w:val="00997A44"/>
    <w:rsid w:val="009A1FC7"/>
    <w:rsid w:val="009A4C2B"/>
    <w:rsid w:val="009A7254"/>
    <w:rsid w:val="009B2BF4"/>
    <w:rsid w:val="009B52A3"/>
    <w:rsid w:val="009B53BA"/>
    <w:rsid w:val="009B609B"/>
    <w:rsid w:val="009B6F4E"/>
    <w:rsid w:val="009B6FA5"/>
    <w:rsid w:val="009B70E4"/>
    <w:rsid w:val="009B74CD"/>
    <w:rsid w:val="009D1F6F"/>
    <w:rsid w:val="009D38DB"/>
    <w:rsid w:val="009D3D0A"/>
    <w:rsid w:val="009D628E"/>
    <w:rsid w:val="009D62DE"/>
    <w:rsid w:val="009E0AD8"/>
    <w:rsid w:val="009E1F06"/>
    <w:rsid w:val="009E2D2B"/>
    <w:rsid w:val="009E4F29"/>
    <w:rsid w:val="009E5236"/>
    <w:rsid w:val="009E5DEF"/>
    <w:rsid w:val="009E6B6B"/>
    <w:rsid w:val="009F212C"/>
    <w:rsid w:val="009F3B36"/>
    <w:rsid w:val="009F79E3"/>
    <w:rsid w:val="00A01A52"/>
    <w:rsid w:val="00A02A0A"/>
    <w:rsid w:val="00A04717"/>
    <w:rsid w:val="00A04E49"/>
    <w:rsid w:val="00A0724B"/>
    <w:rsid w:val="00A10236"/>
    <w:rsid w:val="00A10B7E"/>
    <w:rsid w:val="00A11E9D"/>
    <w:rsid w:val="00A1598C"/>
    <w:rsid w:val="00A15EDE"/>
    <w:rsid w:val="00A163CB"/>
    <w:rsid w:val="00A24789"/>
    <w:rsid w:val="00A25268"/>
    <w:rsid w:val="00A32785"/>
    <w:rsid w:val="00A34924"/>
    <w:rsid w:val="00A35F3F"/>
    <w:rsid w:val="00A3755F"/>
    <w:rsid w:val="00A40234"/>
    <w:rsid w:val="00A40B0A"/>
    <w:rsid w:val="00A4496C"/>
    <w:rsid w:val="00A511D4"/>
    <w:rsid w:val="00A51BDA"/>
    <w:rsid w:val="00A52FED"/>
    <w:rsid w:val="00A547EA"/>
    <w:rsid w:val="00A54EE3"/>
    <w:rsid w:val="00A60040"/>
    <w:rsid w:val="00A61125"/>
    <w:rsid w:val="00A64033"/>
    <w:rsid w:val="00A65635"/>
    <w:rsid w:val="00A66230"/>
    <w:rsid w:val="00A666E6"/>
    <w:rsid w:val="00A66B33"/>
    <w:rsid w:val="00A706DE"/>
    <w:rsid w:val="00A70BEA"/>
    <w:rsid w:val="00A714E4"/>
    <w:rsid w:val="00A7226B"/>
    <w:rsid w:val="00A74C23"/>
    <w:rsid w:val="00A77E2C"/>
    <w:rsid w:val="00A80575"/>
    <w:rsid w:val="00A806B3"/>
    <w:rsid w:val="00A80E57"/>
    <w:rsid w:val="00A82337"/>
    <w:rsid w:val="00A84260"/>
    <w:rsid w:val="00A875F9"/>
    <w:rsid w:val="00A90118"/>
    <w:rsid w:val="00A90821"/>
    <w:rsid w:val="00A909FF"/>
    <w:rsid w:val="00A928C5"/>
    <w:rsid w:val="00A94CCD"/>
    <w:rsid w:val="00A955A3"/>
    <w:rsid w:val="00A958C2"/>
    <w:rsid w:val="00A95C9E"/>
    <w:rsid w:val="00A965CD"/>
    <w:rsid w:val="00A96933"/>
    <w:rsid w:val="00A97D34"/>
    <w:rsid w:val="00AA175E"/>
    <w:rsid w:val="00AA1B3F"/>
    <w:rsid w:val="00AA562F"/>
    <w:rsid w:val="00AA565B"/>
    <w:rsid w:val="00AA6572"/>
    <w:rsid w:val="00AA6DE0"/>
    <w:rsid w:val="00AB0EDD"/>
    <w:rsid w:val="00AB238D"/>
    <w:rsid w:val="00AC5DC1"/>
    <w:rsid w:val="00AD1275"/>
    <w:rsid w:val="00AD56BA"/>
    <w:rsid w:val="00AE4A39"/>
    <w:rsid w:val="00AE52E2"/>
    <w:rsid w:val="00AE5941"/>
    <w:rsid w:val="00AE7DE2"/>
    <w:rsid w:val="00AE7E72"/>
    <w:rsid w:val="00AF00B0"/>
    <w:rsid w:val="00AF0B6E"/>
    <w:rsid w:val="00AF0C1B"/>
    <w:rsid w:val="00AF1152"/>
    <w:rsid w:val="00AF20DE"/>
    <w:rsid w:val="00AF2C7E"/>
    <w:rsid w:val="00AF337C"/>
    <w:rsid w:val="00AF365B"/>
    <w:rsid w:val="00AF3BC9"/>
    <w:rsid w:val="00B0152E"/>
    <w:rsid w:val="00B0159E"/>
    <w:rsid w:val="00B06F77"/>
    <w:rsid w:val="00B148EB"/>
    <w:rsid w:val="00B17EA4"/>
    <w:rsid w:val="00B2401D"/>
    <w:rsid w:val="00B271E2"/>
    <w:rsid w:val="00B27F1E"/>
    <w:rsid w:val="00B31E75"/>
    <w:rsid w:val="00B320DC"/>
    <w:rsid w:val="00B320E0"/>
    <w:rsid w:val="00B32D83"/>
    <w:rsid w:val="00B35A2B"/>
    <w:rsid w:val="00B3629C"/>
    <w:rsid w:val="00B40143"/>
    <w:rsid w:val="00B44598"/>
    <w:rsid w:val="00B44C87"/>
    <w:rsid w:val="00B45127"/>
    <w:rsid w:val="00B47772"/>
    <w:rsid w:val="00B525E7"/>
    <w:rsid w:val="00B5298A"/>
    <w:rsid w:val="00B52BC2"/>
    <w:rsid w:val="00B54B9E"/>
    <w:rsid w:val="00B5655B"/>
    <w:rsid w:val="00B602C0"/>
    <w:rsid w:val="00B61733"/>
    <w:rsid w:val="00B63465"/>
    <w:rsid w:val="00B639CC"/>
    <w:rsid w:val="00B65AA6"/>
    <w:rsid w:val="00B67A38"/>
    <w:rsid w:val="00B736AC"/>
    <w:rsid w:val="00B753D4"/>
    <w:rsid w:val="00B7657D"/>
    <w:rsid w:val="00B777DB"/>
    <w:rsid w:val="00B77CA6"/>
    <w:rsid w:val="00B804DA"/>
    <w:rsid w:val="00B83BD4"/>
    <w:rsid w:val="00B86FB8"/>
    <w:rsid w:val="00B873B1"/>
    <w:rsid w:val="00B91C42"/>
    <w:rsid w:val="00BA5C03"/>
    <w:rsid w:val="00BB0ED6"/>
    <w:rsid w:val="00BB1C0A"/>
    <w:rsid w:val="00BB4376"/>
    <w:rsid w:val="00BB4A45"/>
    <w:rsid w:val="00BB4B74"/>
    <w:rsid w:val="00BB6FED"/>
    <w:rsid w:val="00BC1740"/>
    <w:rsid w:val="00BC41B2"/>
    <w:rsid w:val="00BC45B6"/>
    <w:rsid w:val="00BC4F9E"/>
    <w:rsid w:val="00BE0799"/>
    <w:rsid w:val="00BE26D9"/>
    <w:rsid w:val="00BF1119"/>
    <w:rsid w:val="00BF5510"/>
    <w:rsid w:val="00C00C31"/>
    <w:rsid w:val="00C04C3E"/>
    <w:rsid w:val="00C070A2"/>
    <w:rsid w:val="00C07C06"/>
    <w:rsid w:val="00C10D37"/>
    <w:rsid w:val="00C13A0F"/>
    <w:rsid w:val="00C14C4A"/>
    <w:rsid w:val="00C17E66"/>
    <w:rsid w:val="00C22482"/>
    <w:rsid w:val="00C24236"/>
    <w:rsid w:val="00C242A9"/>
    <w:rsid w:val="00C24D87"/>
    <w:rsid w:val="00C3032A"/>
    <w:rsid w:val="00C31C6D"/>
    <w:rsid w:val="00C31FF2"/>
    <w:rsid w:val="00C33C36"/>
    <w:rsid w:val="00C34E53"/>
    <w:rsid w:val="00C37264"/>
    <w:rsid w:val="00C40428"/>
    <w:rsid w:val="00C408D1"/>
    <w:rsid w:val="00C41ED9"/>
    <w:rsid w:val="00C44645"/>
    <w:rsid w:val="00C50A3F"/>
    <w:rsid w:val="00C51474"/>
    <w:rsid w:val="00C51847"/>
    <w:rsid w:val="00C55C36"/>
    <w:rsid w:val="00C60ECE"/>
    <w:rsid w:val="00C61072"/>
    <w:rsid w:val="00C6137D"/>
    <w:rsid w:val="00C61540"/>
    <w:rsid w:val="00C61B0C"/>
    <w:rsid w:val="00C634E4"/>
    <w:rsid w:val="00C67D4C"/>
    <w:rsid w:val="00C706FA"/>
    <w:rsid w:val="00C71FD7"/>
    <w:rsid w:val="00C808FE"/>
    <w:rsid w:val="00C81D18"/>
    <w:rsid w:val="00C82258"/>
    <w:rsid w:val="00C82744"/>
    <w:rsid w:val="00C836D9"/>
    <w:rsid w:val="00C84109"/>
    <w:rsid w:val="00C843F0"/>
    <w:rsid w:val="00C85F66"/>
    <w:rsid w:val="00C86790"/>
    <w:rsid w:val="00C87F51"/>
    <w:rsid w:val="00C928C8"/>
    <w:rsid w:val="00C95F0B"/>
    <w:rsid w:val="00C96EE4"/>
    <w:rsid w:val="00CA0CFD"/>
    <w:rsid w:val="00CA108E"/>
    <w:rsid w:val="00CA37C8"/>
    <w:rsid w:val="00CA5047"/>
    <w:rsid w:val="00CA7C2A"/>
    <w:rsid w:val="00CC1221"/>
    <w:rsid w:val="00CC339D"/>
    <w:rsid w:val="00CC4EE7"/>
    <w:rsid w:val="00CC5ED9"/>
    <w:rsid w:val="00CC6DD2"/>
    <w:rsid w:val="00CD4CC6"/>
    <w:rsid w:val="00CD58FA"/>
    <w:rsid w:val="00CD5C22"/>
    <w:rsid w:val="00CE363E"/>
    <w:rsid w:val="00CF0973"/>
    <w:rsid w:val="00CF1430"/>
    <w:rsid w:val="00CF1AE4"/>
    <w:rsid w:val="00CF2679"/>
    <w:rsid w:val="00CF43F0"/>
    <w:rsid w:val="00D0046C"/>
    <w:rsid w:val="00D00979"/>
    <w:rsid w:val="00D019CE"/>
    <w:rsid w:val="00D01E3B"/>
    <w:rsid w:val="00D05480"/>
    <w:rsid w:val="00D06EEA"/>
    <w:rsid w:val="00D11946"/>
    <w:rsid w:val="00D14F71"/>
    <w:rsid w:val="00D15612"/>
    <w:rsid w:val="00D156E5"/>
    <w:rsid w:val="00D17A89"/>
    <w:rsid w:val="00D20329"/>
    <w:rsid w:val="00D204BD"/>
    <w:rsid w:val="00D21619"/>
    <w:rsid w:val="00D21B1B"/>
    <w:rsid w:val="00D220B5"/>
    <w:rsid w:val="00D22799"/>
    <w:rsid w:val="00D26063"/>
    <w:rsid w:val="00D30FB0"/>
    <w:rsid w:val="00D32832"/>
    <w:rsid w:val="00D33C76"/>
    <w:rsid w:val="00D34827"/>
    <w:rsid w:val="00D3642E"/>
    <w:rsid w:val="00D37490"/>
    <w:rsid w:val="00D41F8D"/>
    <w:rsid w:val="00D426AA"/>
    <w:rsid w:val="00D451AB"/>
    <w:rsid w:val="00D50991"/>
    <w:rsid w:val="00D578AF"/>
    <w:rsid w:val="00D61DA0"/>
    <w:rsid w:val="00D65D7A"/>
    <w:rsid w:val="00D66F2C"/>
    <w:rsid w:val="00D6793A"/>
    <w:rsid w:val="00D704BA"/>
    <w:rsid w:val="00D7347C"/>
    <w:rsid w:val="00D74D7F"/>
    <w:rsid w:val="00D75348"/>
    <w:rsid w:val="00D80F6F"/>
    <w:rsid w:val="00D820E3"/>
    <w:rsid w:val="00D863C9"/>
    <w:rsid w:val="00D90979"/>
    <w:rsid w:val="00D9342C"/>
    <w:rsid w:val="00D944CB"/>
    <w:rsid w:val="00DA326B"/>
    <w:rsid w:val="00DA3BCE"/>
    <w:rsid w:val="00DA59FA"/>
    <w:rsid w:val="00DA7343"/>
    <w:rsid w:val="00DB1157"/>
    <w:rsid w:val="00DB295F"/>
    <w:rsid w:val="00DB29E4"/>
    <w:rsid w:val="00DB3826"/>
    <w:rsid w:val="00DB47DC"/>
    <w:rsid w:val="00DB74F2"/>
    <w:rsid w:val="00DC205C"/>
    <w:rsid w:val="00DC5687"/>
    <w:rsid w:val="00DC6575"/>
    <w:rsid w:val="00DC72C3"/>
    <w:rsid w:val="00DC7A5D"/>
    <w:rsid w:val="00DD00EF"/>
    <w:rsid w:val="00DD0C82"/>
    <w:rsid w:val="00DD1CF8"/>
    <w:rsid w:val="00DD342E"/>
    <w:rsid w:val="00DD6102"/>
    <w:rsid w:val="00DD71F1"/>
    <w:rsid w:val="00DE00C5"/>
    <w:rsid w:val="00DE3FB5"/>
    <w:rsid w:val="00DE7074"/>
    <w:rsid w:val="00DE7381"/>
    <w:rsid w:val="00DF0C48"/>
    <w:rsid w:val="00DF2749"/>
    <w:rsid w:val="00DF60A6"/>
    <w:rsid w:val="00E00D0A"/>
    <w:rsid w:val="00E05B5A"/>
    <w:rsid w:val="00E05F1B"/>
    <w:rsid w:val="00E07B93"/>
    <w:rsid w:val="00E07E15"/>
    <w:rsid w:val="00E1354A"/>
    <w:rsid w:val="00E161F8"/>
    <w:rsid w:val="00E16DA8"/>
    <w:rsid w:val="00E261A4"/>
    <w:rsid w:val="00E26EE5"/>
    <w:rsid w:val="00E30BF7"/>
    <w:rsid w:val="00E32815"/>
    <w:rsid w:val="00E33554"/>
    <w:rsid w:val="00E40596"/>
    <w:rsid w:val="00E40BA9"/>
    <w:rsid w:val="00E41B77"/>
    <w:rsid w:val="00E45EC3"/>
    <w:rsid w:val="00E47C4F"/>
    <w:rsid w:val="00E53BBB"/>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517E"/>
    <w:rsid w:val="00ED6528"/>
    <w:rsid w:val="00ED68E9"/>
    <w:rsid w:val="00EE1FC2"/>
    <w:rsid w:val="00EE419C"/>
    <w:rsid w:val="00EE7BE0"/>
    <w:rsid w:val="00EF52E8"/>
    <w:rsid w:val="00EF670C"/>
    <w:rsid w:val="00F051DC"/>
    <w:rsid w:val="00F05373"/>
    <w:rsid w:val="00F10244"/>
    <w:rsid w:val="00F112B1"/>
    <w:rsid w:val="00F1132A"/>
    <w:rsid w:val="00F11F09"/>
    <w:rsid w:val="00F1455B"/>
    <w:rsid w:val="00F16D36"/>
    <w:rsid w:val="00F210FD"/>
    <w:rsid w:val="00F250D2"/>
    <w:rsid w:val="00F310E7"/>
    <w:rsid w:val="00F33087"/>
    <w:rsid w:val="00F350B2"/>
    <w:rsid w:val="00F372A2"/>
    <w:rsid w:val="00F4243D"/>
    <w:rsid w:val="00F4304A"/>
    <w:rsid w:val="00F43155"/>
    <w:rsid w:val="00F44DA4"/>
    <w:rsid w:val="00F45BA7"/>
    <w:rsid w:val="00F45BE9"/>
    <w:rsid w:val="00F46308"/>
    <w:rsid w:val="00F46F4A"/>
    <w:rsid w:val="00F470C1"/>
    <w:rsid w:val="00F52CE1"/>
    <w:rsid w:val="00F57917"/>
    <w:rsid w:val="00F60788"/>
    <w:rsid w:val="00F7063D"/>
    <w:rsid w:val="00F70C88"/>
    <w:rsid w:val="00F7168A"/>
    <w:rsid w:val="00F734AD"/>
    <w:rsid w:val="00F734EE"/>
    <w:rsid w:val="00F745D9"/>
    <w:rsid w:val="00F76618"/>
    <w:rsid w:val="00F76E42"/>
    <w:rsid w:val="00F81D1B"/>
    <w:rsid w:val="00F83FBC"/>
    <w:rsid w:val="00F841A7"/>
    <w:rsid w:val="00F84292"/>
    <w:rsid w:val="00F85E04"/>
    <w:rsid w:val="00F864DA"/>
    <w:rsid w:val="00F9134D"/>
    <w:rsid w:val="00F916DA"/>
    <w:rsid w:val="00F92643"/>
    <w:rsid w:val="00F936B3"/>
    <w:rsid w:val="00F96508"/>
    <w:rsid w:val="00F97F7D"/>
    <w:rsid w:val="00FA0333"/>
    <w:rsid w:val="00FA19D5"/>
    <w:rsid w:val="00FA21B9"/>
    <w:rsid w:val="00FA3EE8"/>
    <w:rsid w:val="00FA6669"/>
    <w:rsid w:val="00FA7639"/>
    <w:rsid w:val="00FB3457"/>
    <w:rsid w:val="00FB3E2C"/>
    <w:rsid w:val="00FB5241"/>
    <w:rsid w:val="00FB695B"/>
    <w:rsid w:val="00FC037E"/>
    <w:rsid w:val="00FC19B9"/>
    <w:rsid w:val="00FC4DE3"/>
    <w:rsid w:val="00FC6716"/>
    <w:rsid w:val="00FD00A5"/>
    <w:rsid w:val="00FD2151"/>
    <w:rsid w:val="00FD4B0F"/>
    <w:rsid w:val="00FD7E82"/>
    <w:rsid w:val="00FE0661"/>
    <w:rsid w:val="00FE25A0"/>
    <w:rsid w:val="00FE35DC"/>
    <w:rsid w:val="00FE671C"/>
    <w:rsid w:val="00FF0C09"/>
    <w:rsid w:val="00FF1D34"/>
    <w:rsid w:val="00FF1DD7"/>
    <w:rsid w:val="00FF3775"/>
    <w:rsid w:val="00FF3996"/>
    <w:rsid w:val="00FF3C19"/>
    <w:rsid w:val="01CE5D1C"/>
    <w:rsid w:val="026475DE"/>
    <w:rsid w:val="039E595D"/>
    <w:rsid w:val="06E15F8D"/>
    <w:rsid w:val="070F07F6"/>
    <w:rsid w:val="0765096C"/>
    <w:rsid w:val="08083403"/>
    <w:rsid w:val="081B538F"/>
    <w:rsid w:val="081C3970"/>
    <w:rsid w:val="09BE5E2A"/>
    <w:rsid w:val="0A091F73"/>
    <w:rsid w:val="0A8504E9"/>
    <w:rsid w:val="0AF54E47"/>
    <w:rsid w:val="0B073D25"/>
    <w:rsid w:val="0BC8396B"/>
    <w:rsid w:val="0C0A5335"/>
    <w:rsid w:val="0C9D4EAB"/>
    <w:rsid w:val="0D92619C"/>
    <w:rsid w:val="0DEA65B5"/>
    <w:rsid w:val="0F412CA9"/>
    <w:rsid w:val="0FD566D2"/>
    <w:rsid w:val="10FB29AF"/>
    <w:rsid w:val="13B2170D"/>
    <w:rsid w:val="13B97480"/>
    <w:rsid w:val="14034EB5"/>
    <w:rsid w:val="14870494"/>
    <w:rsid w:val="15085E8C"/>
    <w:rsid w:val="15174F60"/>
    <w:rsid w:val="15554E6B"/>
    <w:rsid w:val="1556095A"/>
    <w:rsid w:val="167D7F24"/>
    <w:rsid w:val="17306AB5"/>
    <w:rsid w:val="17373F64"/>
    <w:rsid w:val="19534DA3"/>
    <w:rsid w:val="19A054D6"/>
    <w:rsid w:val="1A3E119A"/>
    <w:rsid w:val="1B0717C8"/>
    <w:rsid w:val="1BA03836"/>
    <w:rsid w:val="1BE33681"/>
    <w:rsid w:val="1DCB4E4A"/>
    <w:rsid w:val="1E1467F1"/>
    <w:rsid w:val="1FBDA86D"/>
    <w:rsid w:val="207417C9"/>
    <w:rsid w:val="21862EC6"/>
    <w:rsid w:val="237A2B2A"/>
    <w:rsid w:val="242D2C2D"/>
    <w:rsid w:val="25FBCF81"/>
    <w:rsid w:val="28FB2A87"/>
    <w:rsid w:val="2C4F36F5"/>
    <w:rsid w:val="2D5F22BD"/>
    <w:rsid w:val="2FF37D11"/>
    <w:rsid w:val="3013049D"/>
    <w:rsid w:val="30EE254F"/>
    <w:rsid w:val="332C3D99"/>
    <w:rsid w:val="334836EB"/>
    <w:rsid w:val="33484B1B"/>
    <w:rsid w:val="339259E4"/>
    <w:rsid w:val="365875C5"/>
    <w:rsid w:val="39356049"/>
    <w:rsid w:val="39D567ED"/>
    <w:rsid w:val="3B4E60E4"/>
    <w:rsid w:val="3BFE2074"/>
    <w:rsid w:val="3F8C7277"/>
    <w:rsid w:val="3FA0222F"/>
    <w:rsid w:val="3FDF106E"/>
    <w:rsid w:val="42C133BC"/>
    <w:rsid w:val="42D769B6"/>
    <w:rsid w:val="44F600D3"/>
    <w:rsid w:val="45617704"/>
    <w:rsid w:val="459B4F7E"/>
    <w:rsid w:val="48B048DB"/>
    <w:rsid w:val="4A4831FA"/>
    <w:rsid w:val="4B7C707F"/>
    <w:rsid w:val="4B8C0594"/>
    <w:rsid w:val="4BDFF161"/>
    <w:rsid w:val="4C0F7B1B"/>
    <w:rsid w:val="4C887636"/>
    <w:rsid w:val="4CFE380A"/>
    <w:rsid w:val="4D862B8C"/>
    <w:rsid w:val="4DFF35F5"/>
    <w:rsid w:val="4EBF1B1D"/>
    <w:rsid w:val="4EF47599"/>
    <w:rsid w:val="4FE3578A"/>
    <w:rsid w:val="5382777D"/>
    <w:rsid w:val="53CF9561"/>
    <w:rsid w:val="546121C6"/>
    <w:rsid w:val="54E94B5B"/>
    <w:rsid w:val="55661639"/>
    <w:rsid w:val="55761622"/>
    <w:rsid w:val="5B707DF6"/>
    <w:rsid w:val="5BD857FA"/>
    <w:rsid w:val="5C080481"/>
    <w:rsid w:val="5D1B4C6E"/>
    <w:rsid w:val="5D6E580E"/>
    <w:rsid w:val="5DFE65DB"/>
    <w:rsid w:val="5E202145"/>
    <w:rsid w:val="5F621BCD"/>
    <w:rsid w:val="6031647B"/>
    <w:rsid w:val="60B9109D"/>
    <w:rsid w:val="62F74A7A"/>
    <w:rsid w:val="63BB5260"/>
    <w:rsid w:val="63D25BB7"/>
    <w:rsid w:val="64C23E7D"/>
    <w:rsid w:val="65EE9BF0"/>
    <w:rsid w:val="668E2223"/>
    <w:rsid w:val="67FFD309"/>
    <w:rsid w:val="683026D9"/>
    <w:rsid w:val="693F388B"/>
    <w:rsid w:val="69FFFC0A"/>
    <w:rsid w:val="6D6B2492"/>
    <w:rsid w:val="6DBA21A1"/>
    <w:rsid w:val="6F136B04"/>
    <w:rsid w:val="70F76AB0"/>
    <w:rsid w:val="7304780E"/>
    <w:rsid w:val="73731F46"/>
    <w:rsid w:val="75BB73CE"/>
    <w:rsid w:val="75ED0344"/>
    <w:rsid w:val="78AF3D07"/>
    <w:rsid w:val="7A6A345B"/>
    <w:rsid w:val="7AB14320"/>
    <w:rsid w:val="7AF5051C"/>
    <w:rsid w:val="7BBA680A"/>
    <w:rsid w:val="7BE826AE"/>
    <w:rsid w:val="7BF3368A"/>
    <w:rsid w:val="7CCF532E"/>
    <w:rsid w:val="7DF033B2"/>
    <w:rsid w:val="7E00338F"/>
    <w:rsid w:val="7FAF8CE9"/>
    <w:rsid w:val="7FBE4C82"/>
    <w:rsid w:val="BDF63E3D"/>
    <w:rsid w:val="CB7C5BFC"/>
    <w:rsid w:val="DF3A5D3C"/>
    <w:rsid w:val="EEE3C452"/>
    <w:rsid w:val="EEF751F1"/>
    <w:rsid w:val="F57963B0"/>
    <w:rsid w:val="F9DB69FD"/>
    <w:rsid w:val="FF7E6780"/>
    <w:rsid w:val="FF7F5C5C"/>
    <w:rsid w:val="FFFEF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10">
    <w:name w:val="Default Paragraph Font"/>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Body Text"/>
    <w:basedOn w:val="1"/>
    <w:unhideWhenUsed/>
    <w:qFormat/>
    <w:uiPriority w:val="0"/>
    <w:pPr>
      <w:spacing w:after="120"/>
    </w:pPr>
  </w:style>
  <w:style w:type="paragraph" w:styleId="4">
    <w:name w:val="Balloon Text"/>
    <w:basedOn w:val="1"/>
    <w:link w:val="37"/>
    <w:semiHidden/>
    <w:unhideWhenUsed/>
    <w:qFormat/>
    <w:uiPriority w:val="0"/>
    <w:rPr>
      <w:sz w:val="18"/>
      <w:szCs w:val="18"/>
    </w:rPr>
  </w:style>
  <w:style w:type="paragraph" w:styleId="5">
    <w:name w:val="footer"/>
    <w:basedOn w:val="1"/>
    <w:link w:val="29"/>
    <w:qFormat/>
    <w:uiPriority w:val="99"/>
    <w:pPr>
      <w:tabs>
        <w:tab w:val="center" w:pos="4153"/>
        <w:tab w:val="right" w:pos="8306"/>
      </w:tabs>
      <w:snapToGrid w:val="0"/>
      <w:jc w:val="left"/>
    </w:pPr>
    <w:rPr>
      <w:sz w:val="18"/>
      <w:szCs w:val="18"/>
    </w:rPr>
  </w:style>
  <w:style w:type="paragraph" w:styleId="6">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Hyperlink"/>
    <w:basedOn w:val="10"/>
    <w:unhideWhenUsed/>
    <w:qFormat/>
    <w:uiPriority w:val="99"/>
    <w:rPr>
      <w:color w:val="0000FF"/>
      <w:u w:val="single"/>
    </w:rPr>
  </w:style>
  <w:style w:type="paragraph" w:customStyle="1" w:styleId="12">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表标题"/>
    <w:next w:val="1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4">
    <w:name w:val="正文图标题"/>
    <w:next w:val="12"/>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6">
    <w:name w:val="一级条标题"/>
    <w:next w:val="12"/>
    <w:qFormat/>
    <w:uiPriority w:val="0"/>
    <w:pPr>
      <w:spacing w:beforeLines="50" w:afterLines="50"/>
      <w:ind w:left="525"/>
      <w:outlineLvl w:val="2"/>
    </w:pPr>
    <w:rPr>
      <w:rFonts w:ascii="黑体" w:hAnsi="Times New Roman" w:eastAsia="黑体" w:cs="Times New Roman"/>
      <w:sz w:val="21"/>
      <w:szCs w:val="21"/>
      <w:lang w:val="en-US" w:eastAsia="zh-CN" w:bidi="ar-SA"/>
    </w:rPr>
  </w:style>
  <w:style w:type="paragraph" w:customStyle="1" w:styleId="17">
    <w:name w:val="章标题"/>
    <w:next w:val="1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2"/>
    <w:qFormat/>
    <w:uiPriority w:val="0"/>
    <w:pPr>
      <w:spacing w:before="50" w:after="50"/>
      <w:outlineLvl w:val="3"/>
    </w:pPr>
  </w:style>
  <w:style w:type="paragraph" w:customStyle="1" w:styleId="19">
    <w:name w:val="三级条标题"/>
    <w:basedOn w:val="18"/>
    <w:next w:val="12"/>
    <w:qFormat/>
    <w:uiPriority w:val="0"/>
    <w:pPr>
      <w:outlineLvl w:val="4"/>
    </w:pPr>
  </w:style>
  <w:style w:type="paragraph" w:customStyle="1" w:styleId="20">
    <w:name w:val="四级条标题"/>
    <w:basedOn w:val="19"/>
    <w:next w:val="12"/>
    <w:qFormat/>
    <w:uiPriority w:val="0"/>
    <w:pPr>
      <w:outlineLvl w:val="5"/>
    </w:pPr>
  </w:style>
  <w:style w:type="paragraph" w:customStyle="1" w:styleId="21">
    <w:name w:val="五级条标题"/>
    <w:basedOn w:val="20"/>
    <w:next w:val="12"/>
    <w:qFormat/>
    <w:uiPriority w:val="0"/>
    <w:pPr>
      <w:outlineLvl w:val="6"/>
    </w:pPr>
  </w:style>
  <w:style w:type="paragraph" w:customStyle="1" w:styleId="22">
    <w:name w:val="注："/>
    <w:next w:val="12"/>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4">
    <w:name w:val="附录图标题"/>
    <w:basedOn w:val="1"/>
    <w:next w:val="12"/>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5">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6">
    <w:name w:val="图表脚注说明"/>
    <w:basedOn w:val="1"/>
    <w:qFormat/>
    <w:uiPriority w:val="0"/>
    <w:pPr>
      <w:numPr>
        <w:ilvl w:val="0"/>
        <w:numId w:val="7"/>
      </w:numPr>
    </w:pPr>
    <w:rPr>
      <w:rFonts w:ascii="宋体"/>
      <w:sz w:val="18"/>
      <w:szCs w:val="18"/>
    </w:rPr>
  </w:style>
  <w:style w:type="character" w:customStyle="1" w:styleId="27">
    <w:name w:val="段 Char"/>
    <w:basedOn w:val="10"/>
    <w:link w:val="12"/>
    <w:qFormat/>
    <w:uiPriority w:val="0"/>
    <w:rPr>
      <w:rFonts w:ascii="宋体"/>
      <w:sz w:val="21"/>
      <w:lang w:val="en-US" w:eastAsia="zh-CN" w:bidi="ar-SA"/>
    </w:rPr>
  </w:style>
  <w:style w:type="character" w:customStyle="1" w:styleId="28">
    <w:name w:val="页眉 Char"/>
    <w:basedOn w:val="10"/>
    <w:link w:val="6"/>
    <w:qFormat/>
    <w:uiPriority w:val="0"/>
    <w:rPr>
      <w:kern w:val="2"/>
      <w:sz w:val="18"/>
      <w:szCs w:val="18"/>
    </w:rPr>
  </w:style>
  <w:style w:type="character" w:customStyle="1" w:styleId="29">
    <w:name w:val="页脚 Char"/>
    <w:basedOn w:val="10"/>
    <w:link w:val="5"/>
    <w:qFormat/>
    <w:uiPriority w:val="99"/>
    <w:rPr>
      <w:kern w:val="2"/>
      <w:sz w:val="18"/>
      <w:szCs w:val="18"/>
    </w:rPr>
  </w:style>
  <w:style w:type="paragraph" w:customStyle="1" w:styleId="30">
    <w:name w:val="附录表标题"/>
    <w:basedOn w:val="1"/>
    <w:next w:val="12"/>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1">
    <w:name w:val="List Paragraph"/>
    <w:basedOn w:val="1"/>
    <w:unhideWhenUsed/>
    <w:qFormat/>
    <w:uiPriority w:val="34"/>
    <w:pPr>
      <w:ind w:firstLine="420"/>
    </w:p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4">
    <w:name w:val="发布"/>
    <w:qFormat/>
    <w:uiPriority w:val="0"/>
    <w:rPr>
      <w:rFonts w:ascii="黑体" w:eastAsia="黑体"/>
      <w:spacing w:val="22"/>
      <w:w w:val="100"/>
      <w:position w:val="3"/>
      <w:sz w:val="28"/>
    </w:rPr>
  </w:style>
  <w:style w:type="paragraph" w:customStyle="1" w:styleId="35">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7">
    <w:name w:val="批注框文本 Char"/>
    <w:basedOn w:val="10"/>
    <w:link w:val="4"/>
    <w:semiHidden/>
    <w:qFormat/>
    <w:uiPriority w:val="0"/>
    <w:rPr>
      <w:rFonts w:ascii="Times New Roman" w:hAnsi="Times New Roman"/>
      <w:kern w:val="2"/>
      <w:sz w:val="18"/>
      <w:szCs w:val="18"/>
    </w:rPr>
  </w:style>
  <w:style w:type="paragraph" w:customStyle="1" w:styleId="38">
    <w:name w:val="BodyText2"/>
    <w:qFormat/>
    <w:uiPriority w:val="0"/>
    <w:pPr>
      <w:widowControl w:val="0"/>
      <w:spacing w:after="120" w:line="480" w:lineRule="auto"/>
      <w:jc w:val="both"/>
      <w:textAlignment w:val="baseline"/>
    </w:pPr>
    <w:rPr>
      <w:rFonts w:ascii="Times New Roman" w:hAnsi="Times New Roman" w:eastAsia="宋体" w:cs="Times New Roman"/>
      <w:kern w:val="2"/>
      <w:sz w:val="32"/>
      <w:szCs w:val="32"/>
      <w:lang w:val="en-US" w:eastAsia="zh-CN" w:bidi="ar-SA"/>
    </w:rPr>
  </w:style>
  <w:style w:type="paragraph" w:customStyle="1" w:styleId="39">
    <w:name w:val="一级无"/>
    <w:basedOn w:val="16"/>
    <w:qFormat/>
    <w:uiPriority w:val="0"/>
    <w:pPr>
      <w:numPr>
        <w:ilvl w:val="1"/>
        <w:numId w:val="3"/>
      </w:numPr>
      <w:spacing w:beforeLines="0" w:afterLines="0"/>
    </w:pPr>
    <w:rPr>
      <w:rFonts w:ascii="宋体" w:eastAsia="宋体"/>
    </w:rPr>
  </w:style>
  <w:style w:type="paragraph" w:customStyle="1" w:styleId="40">
    <w:name w:val="标准文件_一级无标题"/>
    <w:basedOn w:val="41"/>
    <w:qFormat/>
    <w:uiPriority w:val="0"/>
    <w:pPr>
      <w:numPr>
        <w:numId w:val="9"/>
      </w:numPr>
      <w:tabs>
        <w:tab w:val="left" w:pos="0"/>
      </w:tabs>
    </w:pPr>
    <w:rPr>
      <w:rFonts w:hint="eastAsia" w:ascii="宋体"/>
    </w:rPr>
  </w:style>
  <w:style w:type="paragraph" w:customStyle="1" w:styleId="41">
    <w:name w:val="标准文件_一级条标题"/>
    <w:basedOn w:val="42"/>
    <w:next w:val="36"/>
    <w:qFormat/>
    <w:uiPriority w:val="0"/>
    <w:pPr>
      <w:numPr>
        <w:ilvl w:val="2"/>
      </w:numPr>
      <w:spacing w:before="50" w:beforeLines="50" w:after="50" w:afterLines="50"/>
      <w:outlineLvl w:val="1"/>
    </w:pPr>
  </w:style>
  <w:style w:type="paragraph" w:customStyle="1" w:styleId="42">
    <w:name w:val="标准文件_章标题"/>
    <w:next w:val="36"/>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3">
    <w:name w:val="标准文件_二级无标题"/>
    <w:qFormat/>
    <w:uiPriority w:val="0"/>
    <w:pPr>
      <w:widowControl w:val="0"/>
      <w:numPr>
        <w:ilvl w:val="3"/>
        <w:numId w:val="11"/>
      </w:numPr>
      <w:jc w:val="both"/>
    </w:pPr>
    <w:rPr>
      <w:rFonts w:hint="eastAsia" w:ascii="宋体" w:hAnsi="Times New Roman" w:eastAsia="宋体" w:cs="Times New Roman"/>
      <w:sz w:val="21"/>
      <w:lang w:val="en-US" w:eastAsia="zh-CN" w:bidi="ar-SA"/>
    </w:rPr>
  </w:style>
  <w:style w:type="paragraph" w:customStyle="1" w:styleId="44">
    <w:name w:val="标准文件_一级项"/>
    <w:basedOn w:val="1"/>
    <w:qFormat/>
    <w:uiPriority w:val="0"/>
    <w:pPr>
      <w:widowControl/>
      <w:numPr>
        <w:ilvl w:val="0"/>
        <w:numId w:val="12"/>
      </w:numPr>
      <w:jc w:val="left"/>
    </w:pPr>
    <w:rPr>
      <w:rFonts w:hint="eastAsia" w:ascii="宋体" w:eastAsia="宋体"/>
      <w:kern w:val="0"/>
      <w:sz w:val="21"/>
      <w:szCs w:val="20"/>
    </w:rPr>
  </w:style>
  <w:style w:type="character" w:customStyle="1" w:styleId="45">
    <w:name w:val="标准文件_段 Char"/>
    <w:basedOn w:val="10"/>
    <w:qFormat/>
    <w:uiPriority w:val="0"/>
    <w:rPr>
      <w:rFonts w:hint="eastAsia" w:ascii="宋体" w:hAnsi="宋体" w:eastAsia="宋体" w:cs="宋体"/>
      <w:sz w:val="21"/>
    </w:rPr>
  </w:style>
  <w:style w:type="paragraph" w:customStyle="1" w:styleId="46">
    <w:name w:val="标准文件_二级条标题"/>
    <w:basedOn w:val="1"/>
    <w:qFormat/>
    <w:uiPriority w:val="0"/>
    <w:pPr>
      <w:numPr>
        <w:ilvl w:val="3"/>
        <w:numId w:val="13"/>
      </w:numPr>
      <w:spacing w:beforeLines="50" w:afterLines="50"/>
      <w:outlineLvl w:val="2"/>
    </w:pPr>
    <w:rPr>
      <w:rFonts w:hint="eastAsia" w:ascii="黑体" w:eastAsia="黑体"/>
      <w:kern w:val="0"/>
      <w:sz w:val="21"/>
      <w:szCs w:val="20"/>
    </w:rPr>
  </w:style>
  <w:style w:type="paragraph" w:customStyle="1" w:styleId="47">
    <w:name w:val="标准文件_附录一级条标题"/>
    <w:basedOn w:val="1"/>
    <w:next w:val="1"/>
    <w:qFormat/>
    <w:uiPriority w:val="0"/>
    <w:pPr>
      <w:numPr>
        <w:ilvl w:val="1"/>
        <w:numId w:val="14"/>
      </w:numPr>
      <w:spacing w:beforeLines="50" w:afterLines="50"/>
      <w:outlineLvl w:val="2"/>
    </w:pPr>
    <w:rPr>
      <w:rFonts w:hint="eastAsia" w:ascii="黑体" w:eastAsia="黑体"/>
      <w:kern w:val="21"/>
      <w:sz w:val="21"/>
      <w:szCs w:val="20"/>
    </w:rPr>
  </w:style>
  <w:style w:type="paragraph" w:customStyle="1" w:styleId="48">
    <w:name w:val="标准文件_附录表标题"/>
    <w:basedOn w:val="1"/>
    <w:qFormat/>
    <w:uiPriority w:val="0"/>
    <w:pPr>
      <w:widowControl/>
      <w:numPr>
        <w:ilvl w:val="1"/>
        <w:numId w:val="15"/>
      </w:numPr>
      <w:adjustRightInd w:val="0"/>
      <w:snapToGrid w:val="0"/>
      <w:spacing w:beforeLines="50" w:afterLines="50"/>
      <w:jc w:val="center"/>
    </w:pPr>
    <w:rPr>
      <w:rFonts w:hint="eastAsia" w:ascii="黑体" w:eastAsia="黑体"/>
      <w:kern w:val="21"/>
      <w:sz w:val="21"/>
      <w:szCs w:val="20"/>
    </w:rPr>
  </w:style>
  <w:style w:type="paragraph" w:customStyle="1" w:styleId="49">
    <w:name w:val="标准文件_注："/>
    <w:basedOn w:val="1"/>
    <w:qFormat/>
    <w:uiPriority w:val="0"/>
    <w:pPr>
      <w:numPr>
        <w:ilvl w:val="0"/>
        <w:numId w:val="16"/>
      </w:numPr>
      <w:autoSpaceDE w:val="0"/>
      <w:autoSpaceDN w:val="0"/>
    </w:pPr>
    <w:rPr>
      <w:rFonts w:hint="eastAsia" w:ascii="宋体" w:eastAsia="宋体"/>
      <w:kern w:val="0"/>
      <w:sz w:val="18"/>
      <w:szCs w:val="18"/>
    </w:rPr>
  </w:style>
  <w:style w:type="character" w:customStyle="1" w:styleId="50">
    <w:name w:val="font61"/>
    <w:basedOn w:val="10"/>
    <w:qFormat/>
    <w:uiPriority w:val="0"/>
    <w:rPr>
      <w:rFonts w:hint="default" w:ascii="Segoe UI" w:hAnsi="Segoe UI" w:cs="Segoe UI"/>
      <w:color w:val="000000"/>
      <w:sz w:val="22"/>
      <w:szCs w:val="22"/>
      <w:u w:val="none"/>
    </w:rPr>
  </w:style>
  <w:style w:type="character" w:customStyle="1" w:styleId="51">
    <w:name w:val="font71"/>
    <w:basedOn w:val="10"/>
    <w:qFormat/>
    <w:uiPriority w:val="0"/>
    <w:rPr>
      <w:rFonts w:hint="eastAsia" w:ascii="宋体" w:hAnsi="宋体" w:eastAsia="宋体"/>
      <w:color w:val="000000"/>
      <w:sz w:val="22"/>
      <w:szCs w:val="22"/>
      <w:u w:val="none"/>
    </w:rPr>
  </w:style>
  <w:style w:type="character" w:customStyle="1" w:styleId="52">
    <w:name w:val="font21"/>
    <w:qFormat/>
    <w:uiPriority w:val="0"/>
    <w:rPr>
      <w:rFonts w:hint="eastAsia" w:ascii="宋体" w:hAnsi="宋体" w:eastAsia="宋体"/>
      <w:color w:val="000000"/>
      <w:sz w:val="54"/>
      <w:szCs w:val="5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EC9EF-95D0-46EA-8C9B-EB0596AE9DF4}">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26</Pages>
  <Words>11188</Words>
  <Characters>12030</Characters>
  <Lines>106</Lines>
  <Paragraphs>30</Paragraphs>
  <TotalTime>371</TotalTime>
  <ScaleCrop>false</ScaleCrop>
  <LinksUpToDate>false</LinksUpToDate>
  <CharactersWithSpaces>12156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2025-08-18T07:24:00Z</dcterms:created>
  <dc:creator>USER</dc:creator>
  <cp:lastModifiedBy>Better</cp:lastModifiedBy>
  <cp:lastPrinted>2025-01-15T04:51:00Z</cp:lastPrinted>
  <dcterms:modified xsi:type="dcterms:W3CDTF">2026-03-30T07:33:19Z</dcterms:modified>
  <dc:title>广西地方标准《脱氢枞酸》（征求意见稿）</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D9668FA6680043F39BD2D5F2DB93174B_13</vt:lpwstr>
  </property>
  <property fmtid="{D5CDD505-2E9C-101B-9397-08002B2CF9AE}" pid="4" name="KSOTemplateDocerSaveRecord">
    <vt:lpwstr>eyJoZGlkIjoiNjkyMTI5YmM0YzdhN2UwZWQ0YzkxMTQ1ZWZjNWYyZDYiLCJ1c2VySWQiOiIzMTg4MTI4NjAifQ==</vt:lpwstr>
  </property>
</Properties>
</file>